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73" w:rsidRDefault="005C3D0C" w:rsidP="005C3D0C">
      <w:pPr>
        <w:jc w:val="right"/>
        <w:rPr>
          <w:b/>
          <w:caps/>
          <w:color w:val="FFFFFF" w:themeColor="background1"/>
          <w:kern w:val="40"/>
          <w:sz w:val="40"/>
          <w:szCs w:val="40"/>
        </w:rPr>
      </w:pPr>
      <w:r>
        <w:rPr>
          <w:b/>
          <w:caps/>
          <w:color w:val="FFFFFF" w:themeColor="background1"/>
          <w:kern w:val="40"/>
          <w:sz w:val="40"/>
          <w:szCs w:val="40"/>
        </w:rPr>
        <w:t>analýza slovenského</w:t>
      </w:r>
    </w:p>
    <w:p w:rsidR="005C3D0C" w:rsidRDefault="005C3D0C" w:rsidP="005C3D0C">
      <w:pPr>
        <w:jc w:val="right"/>
        <w:rPr>
          <w:b/>
          <w:caps/>
          <w:color w:val="FFFFFF" w:themeColor="background1"/>
          <w:kern w:val="40"/>
          <w:sz w:val="40"/>
          <w:szCs w:val="40"/>
        </w:rPr>
      </w:pPr>
      <w:r>
        <w:rPr>
          <w:b/>
          <w:caps/>
          <w:color w:val="FFFFFF" w:themeColor="background1"/>
          <w:kern w:val="40"/>
          <w:sz w:val="40"/>
          <w:szCs w:val="40"/>
        </w:rPr>
        <w:t>finančného sektora</w:t>
      </w:r>
    </w:p>
    <w:p w:rsidR="005C3D0C" w:rsidRPr="005C3D0C" w:rsidRDefault="005C3D0C" w:rsidP="005C3D0C">
      <w:pPr>
        <w:jc w:val="right"/>
        <w:rPr>
          <w:b/>
          <w:caps/>
          <w:color w:val="FFFFFF" w:themeColor="background1"/>
          <w:kern w:val="40"/>
          <w:sz w:val="40"/>
          <w:szCs w:val="40"/>
        </w:rPr>
      </w:pPr>
      <w:r>
        <w:rPr>
          <w:b/>
          <w:caps/>
          <w:color w:val="FFFFFF" w:themeColor="background1"/>
          <w:kern w:val="40"/>
          <w:sz w:val="40"/>
          <w:szCs w:val="40"/>
        </w:rPr>
        <w:t>za prvý polrok 2013</w:t>
      </w:r>
    </w:p>
    <w:p w:rsidR="009E6773" w:rsidRDefault="009E6773" w:rsidP="00683075">
      <w:pPr>
        <w:sectPr w:rsidR="009E6773" w:rsidSect="005C3D0C">
          <w:headerReference w:type="default" r:id="rId8"/>
          <w:pgSz w:w="11906" w:h="16838" w:code="9"/>
          <w:pgMar w:top="1474" w:right="1327" w:bottom="1474" w:left="1327" w:header="709" w:footer="709" w:gutter="340"/>
          <w:cols w:space="708"/>
          <w:vAlign w:val="center"/>
          <w:docGrid w:linePitch="360"/>
        </w:sectPr>
      </w:pPr>
    </w:p>
    <w:p w:rsidR="00EC7744" w:rsidRPr="00683075" w:rsidRDefault="00820B6E" w:rsidP="00B94203">
      <w:pPr>
        <w:jc w:val="left"/>
      </w:pPr>
      <w:r w:rsidRPr="00683075">
        <w:lastRenderedPageBreak/>
        <w:t>Vydavateľ:</w:t>
      </w:r>
    </w:p>
    <w:p w:rsidR="00EC7744" w:rsidRPr="00683075" w:rsidRDefault="00820B6E" w:rsidP="00B94203">
      <w:pPr>
        <w:jc w:val="left"/>
      </w:pPr>
      <w:r w:rsidRPr="00683075">
        <w:t>© Národná banka Slovenska 2013</w:t>
      </w:r>
    </w:p>
    <w:p w:rsidR="00EC7744" w:rsidRPr="00683075" w:rsidRDefault="00820B6E" w:rsidP="00B94203">
      <w:pPr>
        <w:jc w:val="left"/>
      </w:pPr>
      <w:r w:rsidRPr="00683075">
        <w:t>Adresa:</w:t>
      </w:r>
    </w:p>
    <w:p w:rsidR="00EC7744" w:rsidRPr="00683075" w:rsidRDefault="00820B6E" w:rsidP="00B94203">
      <w:pPr>
        <w:jc w:val="left"/>
      </w:pPr>
      <w:r w:rsidRPr="00683075">
        <w:t>Národná banka Slovenska</w:t>
      </w:r>
    </w:p>
    <w:p w:rsidR="00EC7744" w:rsidRPr="00683075" w:rsidRDefault="00820B6E" w:rsidP="00B94203">
      <w:pPr>
        <w:jc w:val="left"/>
      </w:pPr>
      <w:r w:rsidRPr="00683075">
        <w:t xml:space="preserve">Imricha </w:t>
      </w:r>
      <w:proofErr w:type="spellStart"/>
      <w:r w:rsidRPr="00683075">
        <w:t>Karvaša</w:t>
      </w:r>
      <w:proofErr w:type="spellEnd"/>
      <w:r w:rsidRPr="00683075">
        <w:t xml:space="preserve"> 1</w:t>
      </w:r>
    </w:p>
    <w:p w:rsidR="00EC7744" w:rsidRPr="00683075" w:rsidRDefault="00820B6E" w:rsidP="00B94203">
      <w:pPr>
        <w:jc w:val="left"/>
      </w:pPr>
      <w:r w:rsidRPr="00683075">
        <w:t>813 25 Bratislava</w:t>
      </w:r>
    </w:p>
    <w:p w:rsidR="00EC7744" w:rsidRPr="00683075" w:rsidRDefault="00820B6E" w:rsidP="00B94203">
      <w:pPr>
        <w:jc w:val="left"/>
      </w:pPr>
      <w:r w:rsidRPr="00683075">
        <w:t>Telefón:</w:t>
      </w:r>
    </w:p>
    <w:p w:rsidR="00EC7744" w:rsidRPr="00683075" w:rsidRDefault="00820B6E" w:rsidP="00B94203">
      <w:pPr>
        <w:jc w:val="left"/>
      </w:pPr>
      <w:r w:rsidRPr="00683075">
        <w:t>02 5787 2146</w:t>
      </w:r>
    </w:p>
    <w:p w:rsidR="00EC7744" w:rsidRPr="00683075" w:rsidRDefault="00820B6E" w:rsidP="00B94203">
      <w:pPr>
        <w:jc w:val="left"/>
      </w:pPr>
      <w:r w:rsidRPr="00683075">
        <w:t>Fax:</w:t>
      </w:r>
    </w:p>
    <w:p w:rsidR="00EC7744" w:rsidRPr="00683075" w:rsidRDefault="00820B6E" w:rsidP="00B94203">
      <w:pPr>
        <w:jc w:val="left"/>
      </w:pPr>
      <w:r w:rsidRPr="00683075">
        <w:t>02 5787 1128</w:t>
      </w:r>
    </w:p>
    <w:p w:rsidR="00EC7744" w:rsidRPr="00683075" w:rsidRDefault="00820B6E" w:rsidP="00B94203">
      <w:pPr>
        <w:jc w:val="left"/>
      </w:pPr>
      <w:r w:rsidRPr="00683075">
        <w:t>http://www.nbs.sk</w:t>
      </w:r>
    </w:p>
    <w:p w:rsidR="00EC7744" w:rsidRPr="00683075" w:rsidRDefault="00820B6E" w:rsidP="00B94203">
      <w:pPr>
        <w:jc w:val="left"/>
      </w:pPr>
      <w:r w:rsidRPr="00683075">
        <w:t>Všetky práva vyhradené.</w:t>
      </w:r>
    </w:p>
    <w:p w:rsidR="00EC7744" w:rsidRPr="00683075" w:rsidRDefault="00820B6E" w:rsidP="00B94203">
      <w:pPr>
        <w:jc w:val="left"/>
      </w:pPr>
      <w:r w:rsidRPr="00683075">
        <w:t>Reprodukovanie na vzdelávacie</w:t>
      </w:r>
      <w:r w:rsidR="003E557A">
        <w:t xml:space="preserve"> a </w:t>
      </w:r>
      <w:r w:rsidRPr="00683075">
        <w:t>nekomerčné</w:t>
      </w:r>
      <w:r w:rsidR="00BF0E04" w:rsidRPr="00683075">
        <w:t xml:space="preserve"> </w:t>
      </w:r>
      <w:r w:rsidRPr="00683075">
        <w:t>účely je povolené</w:t>
      </w:r>
      <w:r w:rsidR="003E557A">
        <w:t xml:space="preserve"> s </w:t>
      </w:r>
      <w:r w:rsidRPr="00683075">
        <w:t>uvedením zdroja.</w:t>
      </w:r>
    </w:p>
    <w:p w:rsidR="00B94203" w:rsidRDefault="00820B6E" w:rsidP="00B94203">
      <w:pPr>
        <w:jc w:val="left"/>
        <w:sectPr w:rsidR="00B94203" w:rsidSect="00B94203">
          <w:headerReference w:type="default" r:id="rId9"/>
          <w:footerReference w:type="default" r:id="rId10"/>
          <w:pgSz w:w="11906" w:h="16838"/>
          <w:pgMar w:top="1474" w:right="1327" w:bottom="1474" w:left="1327" w:header="709" w:footer="709" w:gutter="340"/>
          <w:cols w:space="708"/>
          <w:vAlign w:val="bottom"/>
          <w:docGrid w:linePitch="360"/>
        </w:sectPr>
      </w:pPr>
      <w:r w:rsidRPr="00683075">
        <w:t>ISSN 1338-5577 (elektronická verzia)</w:t>
      </w:r>
    </w:p>
    <w:p w:rsidR="00EC7744" w:rsidRDefault="00B94203" w:rsidP="00B94203">
      <w:pPr>
        <w:pStyle w:val="Nadpis1"/>
        <w:numPr>
          <w:ilvl w:val="0"/>
          <w:numId w:val="0"/>
        </w:numPr>
        <w:ind w:left="432" w:hanging="432"/>
      </w:pPr>
      <w:r>
        <w:lastRenderedPageBreak/>
        <w:t>Obsah</w:t>
      </w:r>
    </w:p>
    <w:p w:rsidR="00B94203" w:rsidRDefault="00FA2CC0">
      <w:pPr>
        <w:pStyle w:val="Obsah1"/>
        <w:tabs>
          <w:tab w:val="left" w:pos="440"/>
          <w:tab w:val="right" w:leader="dot" w:pos="8902"/>
        </w:tabs>
        <w:rPr>
          <w:noProof/>
        </w:rPr>
      </w:pPr>
      <w:r>
        <w:fldChar w:fldCharType="begin"/>
      </w:r>
      <w:r w:rsidR="00B94203">
        <w:instrText xml:space="preserve"> TOC \o "1-3" \h \z \u </w:instrText>
      </w:r>
      <w:r>
        <w:fldChar w:fldCharType="separate"/>
      </w:r>
      <w:hyperlink w:anchor="_Toc376206536" w:history="1">
        <w:r w:rsidR="00B94203" w:rsidRPr="00E57F6C">
          <w:rPr>
            <w:rStyle w:val="Hypertextovprepojenie"/>
            <w:rFonts w:eastAsiaTheme="majorEastAsia"/>
            <w:noProof/>
          </w:rPr>
          <w:t>1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Úvodné slovo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1"/>
        <w:tabs>
          <w:tab w:val="left" w:pos="440"/>
          <w:tab w:val="right" w:leader="dot" w:pos="8902"/>
        </w:tabs>
        <w:rPr>
          <w:noProof/>
        </w:rPr>
      </w:pPr>
      <w:hyperlink w:anchor="_Toc376206537" w:history="1">
        <w:r w:rsidR="00B94203" w:rsidRPr="00E57F6C">
          <w:rPr>
            <w:rStyle w:val="Hypertextovprepojenie"/>
            <w:rFonts w:eastAsiaTheme="majorEastAsia"/>
            <w:noProof/>
          </w:rPr>
          <w:t>2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Zhrnutie analýzy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1"/>
        <w:tabs>
          <w:tab w:val="left" w:pos="440"/>
          <w:tab w:val="right" w:leader="dot" w:pos="8902"/>
        </w:tabs>
        <w:rPr>
          <w:noProof/>
        </w:rPr>
      </w:pPr>
      <w:hyperlink w:anchor="_Toc376206538" w:history="1">
        <w:r w:rsidR="00B94203" w:rsidRPr="00E57F6C">
          <w:rPr>
            <w:rStyle w:val="Hypertextovprepojenie"/>
            <w:rFonts w:eastAsiaTheme="majorEastAsia"/>
            <w:noProof/>
          </w:rPr>
          <w:t>3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Makroekonomický vývoj</w:t>
        </w:r>
        <w:r w:rsidR="003E557A">
          <w:rPr>
            <w:rStyle w:val="Hypertextovprepojenie"/>
            <w:rFonts w:eastAsiaTheme="majorEastAsia"/>
            <w:noProof/>
          </w:rPr>
          <w:t xml:space="preserve"> z </w:t>
        </w:r>
        <w:r w:rsidR="00B94203" w:rsidRPr="00E57F6C">
          <w:rPr>
            <w:rStyle w:val="Hypertextovprepojenie"/>
            <w:rFonts w:eastAsiaTheme="majorEastAsia"/>
            <w:noProof/>
          </w:rPr>
          <w:t>pohľadu stability finančného sektora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1"/>
        <w:tabs>
          <w:tab w:val="left" w:pos="440"/>
          <w:tab w:val="right" w:leader="dot" w:pos="8902"/>
        </w:tabs>
        <w:rPr>
          <w:noProof/>
        </w:rPr>
      </w:pPr>
      <w:hyperlink w:anchor="_Toc376206539" w:history="1">
        <w:r w:rsidR="00B94203" w:rsidRPr="00E57F6C">
          <w:rPr>
            <w:rStyle w:val="Hypertextovprepojenie"/>
            <w:rFonts w:eastAsiaTheme="majorEastAsia"/>
            <w:noProof/>
          </w:rPr>
          <w:t>4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Vývoj</w:t>
        </w:r>
        <w:r w:rsidR="003E557A">
          <w:rPr>
            <w:rStyle w:val="Hypertextovprepojenie"/>
            <w:rFonts w:eastAsiaTheme="majorEastAsia"/>
            <w:noProof/>
          </w:rPr>
          <w:t xml:space="preserve"> v </w:t>
        </w:r>
        <w:r w:rsidR="00B94203" w:rsidRPr="00E57F6C">
          <w:rPr>
            <w:rStyle w:val="Hypertextovprepojenie"/>
            <w:rFonts w:eastAsiaTheme="majorEastAsia"/>
            <w:noProof/>
          </w:rPr>
          <w:t>slovenskom finančnom sektore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2"/>
        <w:tabs>
          <w:tab w:val="left" w:pos="880"/>
          <w:tab w:val="right" w:leader="dot" w:pos="8902"/>
        </w:tabs>
        <w:rPr>
          <w:noProof/>
        </w:rPr>
      </w:pPr>
      <w:hyperlink w:anchor="_Toc376206540" w:history="1">
        <w:r w:rsidR="00B94203" w:rsidRPr="00E57F6C">
          <w:rPr>
            <w:rStyle w:val="Hypertextovprepojenie"/>
            <w:rFonts w:eastAsiaTheme="majorEastAsia"/>
            <w:noProof/>
          </w:rPr>
          <w:t>4.1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Bankový sektor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3"/>
        <w:tabs>
          <w:tab w:val="left" w:pos="1320"/>
          <w:tab w:val="right" w:leader="dot" w:pos="8902"/>
        </w:tabs>
        <w:rPr>
          <w:noProof/>
        </w:rPr>
      </w:pPr>
      <w:hyperlink w:anchor="_Toc376206541" w:history="1">
        <w:r w:rsidR="00B94203" w:rsidRPr="00E57F6C">
          <w:rPr>
            <w:rStyle w:val="Hypertextovprepojenie"/>
            <w:rFonts w:eastAsiaTheme="majorEastAsia"/>
            <w:noProof/>
          </w:rPr>
          <w:t>4.1.1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Trendy</w:t>
        </w:r>
        <w:r w:rsidR="003E557A">
          <w:rPr>
            <w:rStyle w:val="Hypertextovprepojenie"/>
            <w:rFonts w:eastAsiaTheme="majorEastAsia"/>
            <w:noProof/>
          </w:rPr>
          <w:t xml:space="preserve"> v </w:t>
        </w:r>
        <w:r w:rsidR="00B94203" w:rsidRPr="00E57F6C">
          <w:rPr>
            <w:rStyle w:val="Hypertextovprepojenie"/>
            <w:rFonts w:eastAsiaTheme="majorEastAsia"/>
            <w:noProof/>
          </w:rPr>
          <w:t>bilancii bankového sektora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3"/>
        <w:tabs>
          <w:tab w:val="left" w:pos="1320"/>
          <w:tab w:val="right" w:leader="dot" w:pos="8902"/>
        </w:tabs>
        <w:rPr>
          <w:noProof/>
        </w:rPr>
      </w:pPr>
      <w:hyperlink w:anchor="_Toc376206542" w:history="1">
        <w:r w:rsidR="00B94203" w:rsidRPr="00E57F6C">
          <w:rPr>
            <w:rStyle w:val="Hypertextovprepojenie"/>
            <w:rFonts w:eastAsiaTheme="majorEastAsia"/>
            <w:noProof/>
          </w:rPr>
          <w:t>4.1.2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Finančná pozícia bankového sektora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2"/>
        <w:tabs>
          <w:tab w:val="left" w:pos="880"/>
          <w:tab w:val="right" w:leader="dot" w:pos="8902"/>
        </w:tabs>
        <w:rPr>
          <w:noProof/>
        </w:rPr>
      </w:pPr>
      <w:hyperlink w:anchor="_Toc376206543" w:history="1">
        <w:r w:rsidR="00B94203" w:rsidRPr="00E57F6C">
          <w:rPr>
            <w:rStyle w:val="Hypertextovprepojenie"/>
            <w:rFonts w:eastAsiaTheme="majorEastAsia"/>
            <w:noProof/>
          </w:rPr>
          <w:t>4.2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Sektor poisťovní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2"/>
        <w:tabs>
          <w:tab w:val="left" w:pos="880"/>
          <w:tab w:val="right" w:leader="dot" w:pos="8902"/>
        </w:tabs>
        <w:rPr>
          <w:noProof/>
        </w:rPr>
      </w:pPr>
      <w:hyperlink w:anchor="_Toc376206544" w:history="1">
        <w:r w:rsidR="00B94203" w:rsidRPr="00E57F6C">
          <w:rPr>
            <w:rStyle w:val="Hypertextovprepojenie"/>
            <w:rFonts w:eastAsiaTheme="majorEastAsia"/>
            <w:noProof/>
          </w:rPr>
          <w:t>4.3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Dôchodkové sporenie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3"/>
        <w:tabs>
          <w:tab w:val="left" w:pos="1320"/>
          <w:tab w:val="right" w:leader="dot" w:pos="8902"/>
        </w:tabs>
        <w:rPr>
          <w:noProof/>
        </w:rPr>
      </w:pPr>
      <w:hyperlink w:anchor="_Toc376206545" w:history="1">
        <w:r w:rsidR="00B94203" w:rsidRPr="00E57F6C">
          <w:rPr>
            <w:rStyle w:val="Hypertextovprepojenie"/>
            <w:rFonts w:eastAsiaTheme="majorEastAsia"/>
            <w:noProof/>
          </w:rPr>
          <w:t>4.3.1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Starobné dôchodkové sporenie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3"/>
        <w:tabs>
          <w:tab w:val="left" w:pos="1320"/>
          <w:tab w:val="right" w:leader="dot" w:pos="8902"/>
        </w:tabs>
        <w:rPr>
          <w:noProof/>
        </w:rPr>
      </w:pPr>
      <w:hyperlink w:anchor="_Toc376206546" w:history="1">
        <w:r w:rsidR="00B94203" w:rsidRPr="00E57F6C">
          <w:rPr>
            <w:rStyle w:val="Hypertextovprepojenie"/>
            <w:rFonts w:eastAsiaTheme="majorEastAsia"/>
            <w:noProof/>
          </w:rPr>
          <w:t>4.3.2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Doplnkové dôchodkové sporenie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2"/>
        <w:tabs>
          <w:tab w:val="left" w:pos="880"/>
          <w:tab w:val="right" w:leader="dot" w:pos="8902"/>
        </w:tabs>
        <w:rPr>
          <w:noProof/>
        </w:rPr>
      </w:pPr>
      <w:hyperlink w:anchor="_Toc376206547" w:history="1">
        <w:r w:rsidR="00B94203" w:rsidRPr="00E57F6C">
          <w:rPr>
            <w:rStyle w:val="Hypertextovprepojenie"/>
            <w:rFonts w:eastAsiaTheme="majorEastAsia"/>
            <w:noProof/>
          </w:rPr>
          <w:t>4.4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Kolektívne investovanie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B94203" w:rsidRDefault="00FA2CC0">
      <w:pPr>
        <w:pStyle w:val="Obsah2"/>
        <w:tabs>
          <w:tab w:val="left" w:pos="880"/>
          <w:tab w:val="right" w:leader="dot" w:pos="8902"/>
        </w:tabs>
        <w:rPr>
          <w:noProof/>
        </w:rPr>
      </w:pPr>
      <w:hyperlink w:anchor="_Toc376206548" w:history="1">
        <w:r w:rsidR="00B94203" w:rsidRPr="00E57F6C">
          <w:rPr>
            <w:rStyle w:val="Hypertextovprepojenie"/>
            <w:rFonts w:eastAsiaTheme="majorEastAsia"/>
            <w:noProof/>
          </w:rPr>
          <w:t>4.5</w:t>
        </w:r>
        <w:r w:rsidR="00B94203">
          <w:rPr>
            <w:noProof/>
          </w:rPr>
          <w:tab/>
        </w:r>
        <w:r w:rsidR="00B94203" w:rsidRPr="00E57F6C">
          <w:rPr>
            <w:rStyle w:val="Hypertextovprepojenie"/>
            <w:rFonts w:eastAsiaTheme="majorEastAsia"/>
            <w:noProof/>
          </w:rPr>
          <w:t>Obchodníci</w:t>
        </w:r>
        <w:r w:rsidR="003E557A">
          <w:rPr>
            <w:rStyle w:val="Hypertextovprepojenie"/>
            <w:rFonts w:eastAsiaTheme="majorEastAsia"/>
            <w:noProof/>
          </w:rPr>
          <w:t xml:space="preserve"> s </w:t>
        </w:r>
        <w:r w:rsidR="00B94203" w:rsidRPr="00E57F6C">
          <w:rPr>
            <w:rStyle w:val="Hypertextovprepojenie"/>
            <w:rFonts w:eastAsiaTheme="majorEastAsia"/>
            <w:noProof/>
          </w:rPr>
          <w:t>cennými papiermi</w:t>
        </w:r>
        <w:r w:rsidR="00B942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94203">
          <w:rPr>
            <w:noProof/>
            <w:webHidden/>
          </w:rPr>
          <w:instrText xml:space="preserve"> PAGEREF _Toc376206548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4203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B94203" w:rsidRPr="00683075" w:rsidRDefault="00FA2CC0" w:rsidP="00683075">
      <w:r>
        <w:fldChar w:fldCharType="end"/>
      </w:r>
    </w:p>
    <w:p w:rsidR="00FA3DCE" w:rsidRDefault="00FA3DCE" w:rsidP="009F3DE8">
      <w:pPr>
        <w:pStyle w:val="Nadpis1"/>
        <w:sectPr w:rsidR="00FA3DCE" w:rsidSect="00417A72">
          <w:headerReference w:type="default" r:id="rId11"/>
          <w:footerReference w:type="default" r:id="rId12"/>
          <w:pgSz w:w="11906" w:h="16838"/>
          <w:pgMar w:top="1474" w:right="1327" w:bottom="1474" w:left="1327" w:header="709" w:footer="709" w:gutter="340"/>
          <w:cols w:space="708"/>
          <w:docGrid w:linePitch="360"/>
        </w:sectPr>
      </w:pPr>
      <w:bookmarkStart w:id="0" w:name="_Ref376202670"/>
      <w:bookmarkStart w:id="1" w:name="_Toc376206536"/>
    </w:p>
    <w:p w:rsidR="00EC7744" w:rsidRPr="00683075" w:rsidRDefault="00820B6E" w:rsidP="009F3DE8">
      <w:pPr>
        <w:pStyle w:val="Nadpis1"/>
      </w:pPr>
      <w:r w:rsidRPr="00683075">
        <w:lastRenderedPageBreak/>
        <w:t>Úvodné slovo</w:t>
      </w:r>
      <w:bookmarkEnd w:id="0"/>
      <w:bookmarkEnd w:id="1"/>
    </w:p>
    <w:p w:rsidR="00EC7744" w:rsidRPr="00683075" w:rsidRDefault="00820B6E" w:rsidP="00683075">
      <w:r w:rsidRPr="00683075">
        <w:t>Národná banka Slovenska predkladá Analýzu</w:t>
      </w:r>
      <w:r w:rsidR="00BF0E04" w:rsidRPr="00683075">
        <w:t xml:space="preserve"> </w:t>
      </w:r>
      <w:r w:rsidRPr="00683075">
        <w:t>slovenského finančného sektora pre potreby</w:t>
      </w:r>
      <w:r w:rsidR="00BF0E04" w:rsidRPr="00683075">
        <w:t xml:space="preserve"> </w:t>
      </w:r>
      <w:r w:rsidRPr="00683075">
        <w:t>Bankovej rady NBS ako aj odbornej</w:t>
      </w:r>
      <w:r w:rsidR="003E557A">
        <w:t xml:space="preserve"> a </w:t>
      </w:r>
      <w:r w:rsidRPr="00683075">
        <w:t>širšej verejnosti.</w:t>
      </w:r>
      <w:r w:rsidR="00BF0E04" w:rsidRPr="00683075">
        <w:t xml:space="preserve"> </w:t>
      </w:r>
      <w:r w:rsidRPr="00683075">
        <w:t>Cieľom tohto dokumentu je poskytnúť</w:t>
      </w:r>
      <w:r w:rsidR="00BF0E04" w:rsidRPr="00683075">
        <w:t xml:space="preserve"> </w:t>
      </w:r>
      <w:r w:rsidRPr="00683075">
        <w:t>analýzu aktuálneho stavu</w:t>
      </w:r>
      <w:r w:rsidR="003E557A">
        <w:t xml:space="preserve"> a </w:t>
      </w:r>
      <w:r w:rsidRPr="00683075">
        <w:t>vývoja domáceho</w:t>
      </w:r>
      <w:r w:rsidR="00BF0E04" w:rsidRPr="00683075">
        <w:t xml:space="preserve"> </w:t>
      </w:r>
      <w:r w:rsidRPr="00683075">
        <w:t>finančného trhu, upozorniť na potenciálne riziká</w:t>
      </w:r>
      <w:r w:rsidR="003E557A">
        <w:t xml:space="preserve"> a </w:t>
      </w:r>
      <w:r w:rsidRPr="00683075">
        <w:t>ohrozenia jeho stability.</w:t>
      </w:r>
    </w:p>
    <w:p w:rsidR="00EC7744" w:rsidRPr="00683075" w:rsidRDefault="00820B6E" w:rsidP="00683075">
      <w:r w:rsidRPr="00683075">
        <w:t>Predkladaná analýza hodnotí celkový stav,</w:t>
      </w:r>
      <w:r w:rsidR="003E557A">
        <w:t xml:space="preserve"> v </w:t>
      </w:r>
      <w:r w:rsidRPr="00683075">
        <w:t>akom sa finančný sektor nachádzal</w:t>
      </w:r>
      <w:r w:rsidR="003E557A">
        <w:t xml:space="preserve"> k </w:t>
      </w:r>
      <w:r w:rsidRPr="00683075">
        <w:t>30. júnu</w:t>
      </w:r>
      <w:r w:rsidR="00BF0E04" w:rsidRPr="00683075">
        <w:t xml:space="preserve"> </w:t>
      </w:r>
      <w:r w:rsidRPr="00683075">
        <w:t>2013. Vo viacerých častiach analýzy však boli</w:t>
      </w:r>
      <w:r w:rsidR="00BF0E04" w:rsidRPr="00683075">
        <w:t xml:space="preserve"> </w:t>
      </w:r>
      <w:r w:rsidRPr="00683075">
        <w:t>použité aj novšie údaje, ak boli</w:t>
      </w:r>
      <w:r w:rsidR="003E557A">
        <w:t xml:space="preserve"> k </w:t>
      </w:r>
      <w:r w:rsidRPr="00683075">
        <w:t>dispozícii. Zameriava</w:t>
      </w:r>
      <w:r w:rsidR="00BF0E04" w:rsidRPr="00683075">
        <w:t xml:space="preserve"> </w:t>
      </w:r>
      <w:r w:rsidRPr="00683075">
        <w:t>sa na posúdenie odolnosti finančného</w:t>
      </w:r>
      <w:r w:rsidR="00BF0E04" w:rsidRPr="00683075">
        <w:t xml:space="preserve"> </w:t>
      </w:r>
      <w:r w:rsidRPr="00683075">
        <w:t>systému voči možnému negatívnemu vývoju.</w:t>
      </w:r>
      <w:r w:rsidR="00BF0E04" w:rsidRPr="00683075">
        <w:t xml:space="preserve"> </w:t>
      </w:r>
      <w:r w:rsidRPr="00683075">
        <w:t>Vychádza</w:t>
      </w:r>
      <w:r w:rsidR="003E557A">
        <w:t xml:space="preserve"> z </w:t>
      </w:r>
      <w:r w:rsidRPr="00683075">
        <w:t>hodnotenia individuálnych inštitúcií</w:t>
      </w:r>
      <w:r w:rsidR="00BF0E04" w:rsidRPr="00683075">
        <w:t xml:space="preserve"> </w:t>
      </w:r>
      <w:r w:rsidRPr="00683075">
        <w:t>ako aj celého sektora. Analýza ponúka hlbšie</w:t>
      </w:r>
      <w:r w:rsidR="00BF0E04" w:rsidRPr="00683075">
        <w:t xml:space="preserve"> </w:t>
      </w:r>
      <w:r w:rsidRPr="00683075">
        <w:t>prepojenie medzi vývojom vo finančnom sektore</w:t>
      </w:r>
      <w:r w:rsidR="00BF0E04" w:rsidRPr="00683075">
        <w:t xml:space="preserve"> </w:t>
      </w:r>
      <w:r w:rsidRPr="00683075">
        <w:t>na jednej strane</w:t>
      </w:r>
      <w:r w:rsidR="003E557A">
        <w:t xml:space="preserve"> a </w:t>
      </w:r>
      <w:r w:rsidRPr="00683075">
        <w:t>vývojom makroekonomických</w:t>
      </w:r>
      <w:r w:rsidR="003E557A">
        <w:t xml:space="preserve"> a </w:t>
      </w:r>
      <w:r w:rsidRPr="00683075">
        <w:t xml:space="preserve">mikroekonomických indikátorov na </w:t>
      </w:r>
      <w:r w:rsidRPr="00683075">
        <w:lastRenderedPageBreak/>
        <w:t>druhej</w:t>
      </w:r>
      <w:r w:rsidR="00BF0E04" w:rsidRPr="00683075">
        <w:t xml:space="preserve"> </w:t>
      </w:r>
      <w:r w:rsidRPr="00683075">
        <w:t>strane. Jej systémový charakter sa odráža</w:t>
      </w:r>
      <w:r w:rsidR="00BF0E04" w:rsidRPr="00683075">
        <w:t xml:space="preserve"> </w:t>
      </w:r>
      <w:r w:rsidRPr="00683075">
        <w:t>najmä na využívaní stresového testovania, ktoré</w:t>
      </w:r>
      <w:r w:rsidR="00BF0E04" w:rsidRPr="00683075">
        <w:t xml:space="preserve"> </w:t>
      </w:r>
      <w:r w:rsidRPr="00683075">
        <w:t>umožňuje hodnotenie citlivosti finančného sektora</w:t>
      </w:r>
      <w:r w:rsidR="003E557A">
        <w:t xml:space="preserve"> v </w:t>
      </w:r>
      <w:r w:rsidRPr="00683075">
        <w:t>rôznych scenároch vývoja. Príloha analýzy</w:t>
      </w:r>
      <w:r w:rsidR="00BF0E04" w:rsidRPr="00683075">
        <w:t xml:space="preserve"> </w:t>
      </w:r>
      <w:r w:rsidRPr="00683075">
        <w:t>obsahuje skupinu vybraných indikátorov obozretnosti</w:t>
      </w:r>
      <w:r w:rsidR="00BF0E04" w:rsidRPr="00683075">
        <w:t xml:space="preserve"> </w:t>
      </w:r>
      <w:r w:rsidRPr="00683075">
        <w:t>na makroúrovni za hlavné oblasti rizík</w:t>
      </w:r>
      <w:r w:rsidR="00BF0E04" w:rsidRPr="00683075">
        <w:t xml:space="preserve"> </w:t>
      </w:r>
      <w:r w:rsidRPr="00683075">
        <w:t>vo finančnom sektore</w:t>
      </w:r>
      <w:r w:rsidR="003E557A">
        <w:t xml:space="preserve"> v </w:t>
      </w:r>
      <w:r w:rsidRPr="00683075">
        <w:t>grafickej podobe. Príloha</w:t>
      </w:r>
      <w:r w:rsidR="00BF0E04" w:rsidRPr="00683075">
        <w:t xml:space="preserve"> </w:t>
      </w:r>
      <w:r w:rsidRPr="00683075">
        <w:t>má doplňujúci charakter</w:t>
      </w:r>
      <w:r w:rsidR="003E557A">
        <w:t xml:space="preserve"> k </w:t>
      </w:r>
      <w:r w:rsidRPr="00683075">
        <w:t>analytickému textu</w:t>
      </w:r>
      <w:r w:rsidR="00BF0E04" w:rsidRPr="00683075">
        <w:t xml:space="preserve"> </w:t>
      </w:r>
      <w:r w:rsidRPr="00683075">
        <w:t>analýzy.</w:t>
      </w:r>
    </w:p>
    <w:p w:rsidR="00E34A4E" w:rsidRDefault="00820B6E" w:rsidP="00683075">
      <w:pPr>
        <w:sectPr w:rsidR="00E34A4E" w:rsidSect="00FA3DCE">
          <w:type w:val="continuous"/>
          <w:pgSz w:w="11906" w:h="16838"/>
          <w:pgMar w:top="1474" w:right="1327" w:bottom="1474" w:left="1327" w:header="709" w:footer="709" w:gutter="340"/>
          <w:cols w:num="2" w:space="170"/>
          <w:docGrid w:linePitch="360"/>
        </w:sectPr>
      </w:pPr>
      <w:r w:rsidRPr="00683075">
        <w:t>Podobne ako</w:t>
      </w:r>
      <w:r w:rsidR="003E557A">
        <w:t xml:space="preserve"> v </w:t>
      </w:r>
      <w:r w:rsidRPr="00683075">
        <w:t>predošlých analýzach, finančné</w:t>
      </w:r>
      <w:r w:rsidR="00BF0E04" w:rsidRPr="00683075">
        <w:t xml:space="preserve"> </w:t>
      </w:r>
      <w:r w:rsidRPr="00683075">
        <w:t>informácie o jednotlivých inštitúciách sú</w:t>
      </w:r>
      <w:r w:rsidR="003E557A">
        <w:t xml:space="preserve"> v </w:t>
      </w:r>
      <w:r w:rsidRPr="00683075">
        <w:t>prvom</w:t>
      </w:r>
      <w:r w:rsidR="00BF0E04" w:rsidRPr="00683075">
        <w:t xml:space="preserve"> </w:t>
      </w:r>
      <w:r w:rsidRPr="00683075">
        <w:t>rade čerpané</w:t>
      </w:r>
      <w:r w:rsidR="003E557A">
        <w:t xml:space="preserve"> z </w:t>
      </w:r>
      <w:r w:rsidRPr="00683075">
        <w:t>informačných systémov</w:t>
      </w:r>
      <w:r w:rsidR="00BF0E04" w:rsidRPr="00683075">
        <w:t xml:space="preserve"> </w:t>
      </w:r>
      <w:r w:rsidRPr="00683075">
        <w:t>NBS</w:t>
      </w:r>
      <w:r w:rsidR="003E557A">
        <w:t xml:space="preserve"> a z </w:t>
      </w:r>
      <w:r w:rsidRPr="00683075">
        <w:t>podkladov spracovaných jednotlivými</w:t>
      </w:r>
      <w:r w:rsidR="00BF0E04" w:rsidRPr="00683075">
        <w:t xml:space="preserve"> </w:t>
      </w:r>
      <w:r w:rsidRPr="00683075">
        <w:t>odbormi útvaru dohľadu nad finančným trhom.</w:t>
      </w:r>
      <w:r w:rsidR="00BF0E04" w:rsidRPr="00683075">
        <w:t xml:space="preserve"> </w:t>
      </w:r>
      <w:r w:rsidRPr="00683075">
        <w:t>Doplnkovým zdrojom boli údaje zo Štatistického</w:t>
      </w:r>
      <w:r w:rsidR="00BF0E04" w:rsidRPr="00683075">
        <w:t xml:space="preserve"> </w:t>
      </w:r>
      <w:r w:rsidRPr="00683075">
        <w:t xml:space="preserve">úradu SR, </w:t>
      </w:r>
      <w:proofErr w:type="spellStart"/>
      <w:r w:rsidRPr="00683075">
        <w:t>Eurostatu</w:t>
      </w:r>
      <w:proofErr w:type="spellEnd"/>
      <w:r w:rsidRPr="00683075">
        <w:t>, Európskej centrálnej banky</w:t>
      </w:r>
      <w:r w:rsidR="003E557A">
        <w:t xml:space="preserve"> a z </w:t>
      </w:r>
      <w:r w:rsidRPr="00683075">
        <w:t>iných externých zdrojov</w:t>
      </w:r>
      <w:r w:rsidR="003E557A">
        <w:t xml:space="preserve"> a </w:t>
      </w:r>
      <w:r w:rsidRPr="00683075">
        <w:t>komerčných informačných</w:t>
      </w:r>
      <w:r w:rsidR="00BF0E04" w:rsidRPr="00683075">
        <w:t xml:space="preserve"> </w:t>
      </w:r>
      <w:r w:rsidRPr="00683075">
        <w:t>systémov.</w:t>
      </w:r>
      <w:r w:rsidR="003E557A">
        <w:t xml:space="preserve"> v </w:t>
      </w:r>
      <w:r w:rsidRPr="00683075">
        <w:t>analýze nie sú zohľadňované</w:t>
      </w:r>
      <w:r w:rsidR="00BF0E04" w:rsidRPr="00683075">
        <w:t xml:space="preserve"> </w:t>
      </w:r>
      <w:r w:rsidRPr="00683075">
        <w:t>aktivity pri výkone dohľadu nad individuálnymi</w:t>
      </w:r>
      <w:r w:rsidR="00BF0E04" w:rsidRPr="00683075">
        <w:t xml:space="preserve"> </w:t>
      </w:r>
      <w:r w:rsidRPr="00683075">
        <w:t>inštitúciami.</w:t>
      </w:r>
    </w:p>
    <w:p w:rsidR="00EC7744" w:rsidRPr="00683075" w:rsidRDefault="00820B6E" w:rsidP="0002424C">
      <w:pPr>
        <w:pStyle w:val="Nadpis1"/>
      </w:pPr>
      <w:bookmarkStart w:id="2" w:name="_Toc376206537"/>
      <w:r w:rsidRPr="00683075">
        <w:lastRenderedPageBreak/>
        <w:t>Zhrnutie</w:t>
      </w:r>
      <w:r w:rsidR="00BF0E04" w:rsidRPr="00683075">
        <w:t xml:space="preserve"> </w:t>
      </w:r>
      <w:r w:rsidRPr="00683075">
        <w:t>analýzy</w:t>
      </w:r>
      <w:bookmarkEnd w:id="2"/>
    </w:p>
    <w:p w:rsidR="00EC7744" w:rsidRPr="00683075" w:rsidRDefault="00820B6E" w:rsidP="00D77337">
      <w:pPr>
        <w:pStyle w:val="zvyraznene"/>
      </w:pPr>
      <w:r w:rsidRPr="00683075">
        <w:t>Napriek mierne pozitívnemu vývoju globálnej</w:t>
      </w:r>
      <w:r w:rsidR="00BF0E04" w:rsidRPr="00683075">
        <w:t xml:space="preserve"> </w:t>
      </w:r>
      <w:r w:rsidRPr="00683075">
        <w:t>ekonomickej aktivity</w:t>
      </w:r>
      <w:r w:rsidR="003E557A">
        <w:t xml:space="preserve"> a </w:t>
      </w:r>
      <w:r w:rsidRPr="00683075">
        <w:t>relatívnej stability na</w:t>
      </w:r>
      <w:r w:rsidR="00BF0E04" w:rsidRPr="00683075">
        <w:t xml:space="preserve"> </w:t>
      </w:r>
      <w:r w:rsidRPr="00683075">
        <w:t>finančných trhoch pretrvávajú významné riziká</w:t>
      </w:r>
    </w:p>
    <w:p w:rsidR="00820B6E" w:rsidRPr="00683075" w:rsidRDefault="00820B6E" w:rsidP="00683075">
      <w:r w:rsidRPr="00683075">
        <w:t>Vývoj globálnej ekonomiky</w:t>
      </w:r>
      <w:r w:rsidR="003E557A">
        <w:t xml:space="preserve"> a </w:t>
      </w:r>
      <w:r w:rsidRPr="00683075">
        <w:t>na finančných trhoch</w:t>
      </w:r>
      <w:r w:rsidR="00BF0E04" w:rsidRPr="00683075">
        <w:t xml:space="preserve"> </w:t>
      </w:r>
      <w:r w:rsidRPr="00683075">
        <w:t>počas prvého polroka 2013 neumožňuje</w:t>
      </w:r>
      <w:r w:rsidR="00BF0E04" w:rsidRPr="00683075">
        <w:t xml:space="preserve"> </w:t>
      </w:r>
      <w:r w:rsidRPr="00683075">
        <w:t>robiť jednoznačné závery</w:t>
      </w:r>
      <w:r w:rsidR="003E557A">
        <w:t xml:space="preserve"> z </w:t>
      </w:r>
      <w:r w:rsidRPr="00683075">
        <w:t>pohľadu budúceho</w:t>
      </w:r>
      <w:r w:rsidR="00BF0E04" w:rsidRPr="00683075">
        <w:t xml:space="preserve"> </w:t>
      </w:r>
      <w:r w:rsidRPr="00683075">
        <w:t>smerovania ani</w:t>
      </w:r>
      <w:r w:rsidR="003E557A">
        <w:t xml:space="preserve"> z </w:t>
      </w:r>
      <w:r w:rsidRPr="00683075">
        <w:t>pohľadu možného dopadu na</w:t>
      </w:r>
      <w:r w:rsidR="00BF0E04" w:rsidRPr="00683075">
        <w:t xml:space="preserve"> </w:t>
      </w:r>
      <w:r w:rsidRPr="00683075">
        <w:t>slovenskú ekonomiku</w:t>
      </w:r>
      <w:r w:rsidR="003E557A">
        <w:t xml:space="preserve"> a </w:t>
      </w:r>
      <w:r w:rsidRPr="00683075">
        <w:t>na domáci finančný sektor.</w:t>
      </w:r>
      <w:r w:rsidR="00BF0E04" w:rsidRPr="00683075">
        <w:t xml:space="preserve"> </w:t>
      </w:r>
      <w:r w:rsidRPr="00683075">
        <w:t>Aj keď globálna ekonomika by mala aspoň</w:t>
      </w:r>
      <w:r w:rsidR="00BF0E04" w:rsidRPr="00683075">
        <w:t xml:space="preserve"> </w:t>
      </w:r>
      <w:r w:rsidRPr="00683075">
        <w:t>miernym tempom napredovať,</w:t>
      </w:r>
      <w:r w:rsidR="003E557A">
        <w:t xml:space="preserve"> a </w:t>
      </w:r>
      <w:r w:rsidRPr="00683075">
        <w:t>aj</w:t>
      </w:r>
      <w:r w:rsidR="003E557A">
        <w:t xml:space="preserve"> v </w:t>
      </w:r>
      <w:r w:rsidRPr="00683075">
        <w:t>eurozóne</w:t>
      </w:r>
      <w:r w:rsidR="00BF0E04" w:rsidRPr="00683075">
        <w:t xml:space="preserve"> </w:t>
      </w:r>
      <w:r w:rsidRPr="00683075">
        <w:t>je možné hovoriť o ukončení recesie, naďalej</w:t>
      </w:r>
      <w:r w:rsidR="00BF0E04" w:rsidRPr="00683075">
        <w:t xml:space="preserve"> </w:t>
      </w:r>
      <w:r w:rsidRPr="00683075">
        <w:t>pretrvávajú riziká, ktoré</w:t>
      </w:r>
      <w:r w:rsidR="003E557A">
        <w:t xml:space="preserve"> v </w:t>
      </w:r>
      <w:r w:rsidRPr="00683075">
        <w:t>prípade materializácie</w:t>
      </w:r>
      <w:r w:rsidR="00BF0E04" w:rsidRPr="00683075">
        <w:t xml:space="preserve"> </w:t>
      </w:r>
      <w:r w:rsidRPr="00683075">
        <w:t>môžu výrazným spôsobom utlmiť aktivitu. Navyše</w:t>
      </w:r>
      <w:r w:rsidR="00BF0E04" w:rsidRPr="00683075">
        <w:t xml:space="preserve"> </w:t>
      </w:r>
      <w:r w:rsidRPr="00683075">
        <w:t>zaznamenané tempá ekonomického rastu sú</w:t>
      </w:r>
      <w:r w:rsidR="00BF0E04" w:rsidRPr="00683075">
        <w:t xml:space="preserve"> </w:t>
      </w:r>
      <w:r w:rsidRPr="00683075">
        <w:t>síce kladné, ale veľmi nízke. Otvorenými otázkami</w:t>
      </w:r>
      <w:r w:rsidR="00BF0E04" w:rsidRPr="00683075">
        <w:t xml:space="preserve"> </w:t>
      </w:r>
      <w:r w:rsidRPr="00683075">
        <w:t>ostávajú okrem iného možné dopady konsolidácie</w:t>
      </w:r>
      <w:r w:rsidR="00BF0E04" w:rsidRPr="00683075">
        <w:t xml:space="preserve"> </w:t>
      </w:r>
      <w:r w:rsidRPr="00683075">
        <w:t>verejných financií vo viacerých krajinách</w:t>
      </w:r>
      <w:r w:rsidR="00BF0E04" w:rsidRPr="00683075">
        <w:t xml:space="preserve"> </w:t>
      </w:r>
      <w:r w:rsidRPr="00683075">
        <w:t>eurozóny alebo smerovanie dôvery ohľadom budúceho</w:t>
      </w:r>
      <w:r w:rsidR="00BF0E04" w:rsidRPr="00683075">
        <w:t xml:space="preserve"> </w:t>
      </w:r>
      <w:r w:rsidRPr="00683075">
        <w:t>rastu,</w:t>
      </w:r>
      <w:r w:rsidR="003E557A">
        <w:t xml:space="preserve"> a s </w:t>
      </w:r>
      <w:r w:rsidRPr="00683075">
        <w:t>tým spojený vývoj domáceho</w:t>
      </w:r>
      <w:r w:rsidR="00BF0E04" w:rsidRPr="00683075">
        <w:t xml:space="preserve"> </w:t>
      </w:r>
      <w:r w:rsidRPr="00683075">
        <w:t>dopytu.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Finančné trhy zaznamenali pod vplyvom rôznych</w:t>
      </w:r>
      <w:r w:rsidR="00BF0E04" w:rsidRPr="00683075">
        <w:t xml:space="preserve"> </w:t>
      </w:r>
      <w:r w:rsidRPr="00683075">
        <w:t>realizovaných alebo rozpracovaných opatrení</w:t>
      </w:r>
      <w:r w:rsidR="00BF0E04" w:rsidRPr="00683075">
        <w:t xml:space="preserve"> </w:t>
      </w:r>
      <w:r w:rsidRPr="00683075">
        <w:t>takisto pokojnejšie obdobie. Rast viacerých</w:t>
      </w:r>
      <w:r w:rsidR="00BF0E04" w:rsidRPr="00683075">
        <w:t xml:space="preserve"> </w:t>
      </w:r>
      <w:r w:rsidRPr="00683075">
        <w:t>segmentov trhu bol podporený nemalou mierou</w:t>
      </w:r>
      <w:r w:rsidR="00BF0E04" w:rsidRPr="00683075">
        <w:t xml:space="preserve"> </w:t>
      </w:r>
      <w:r w:rsidRPr="00683075">
        <w:t>historicky nízkymi výnosmi najmenej rizikových</w:t>
      </w:r>
      <w:r w:rsidR="00BF0E04" w:rsidRPr="00683075">
        <w:t xml:space="preserve"> </w:t>
      </w:r>
      <w:r w:rsidRPr="00683075">
        <w:t>aktív, ktoré vytvárali priestor pre rast</w:t>
      </w:r>
      <w:r w:rsidR="00BF0E04" w:rsidRPr="00683075">
        <w:t xml:space="preserve"> </w:t>
      </w:r>
      <w:r w:rsidRPr="00683075">
        <w:t>dopytu aj po rizikovejších aktívach</w:t>
      </w:r>
      <w:r w:rsidR="003E557A">
        <w:t xml:space="preserve"> s </w:t>
      </w:r>
      <w:r w:rsidRPr="00683075">
        <w:t>vidinou</w:t>
      </w:r>
      <w:r w:rsidR="00BF0E04" w:rsidRPr="00683075">
        <w:t xml:space="preserve"> </w:t>
      </w:r>
      <w:r w:rsidRPr="00683075">
        <w:t>vyšších výnosov. Aj tu však treba poukázať na</w:t>
      </w:r>
      <w:r w:rsidR="00BF0E04" w:rsidRPr="00683075">
        <w:t xml:space="preserve"> </w:t>
      </w:r>
      <w:r w:rsidRPr="00683075">
        <w:t>riziká prípadnej náhlej korekcie cien aktív, ktoré</w:t>
      </w:r>
      <w:r w:rsidR="003E557A">
        <w:t xml:space="preserve"> v </w:t>
      </w:r>
      <w:r w:rsidRPr="00683075">
        <w:t>budúcnosti môžu plynúť napríklad</w:t>
      </w:r>
      <w:r w:rsidR="003E557A">
        <w:t xml:space="preserve"> z </w:t>
      </w:r>
      <w:r w:rsidRPr="00683075">
        <w:t>postupného</w:t>
      </w:r>
      <w:r w:rsidR="00BF0E04" w:rsidRPr="00683075">
        <w:t xml:space="preserve"> </w:t>
      </w:r>
      <w:r w:rsidRPr="00683075">
        <w:t>upustenia od kvantitatívneho uvoľňovania</w:t>
      </w:r>
      <w:r w:rsidR="00BF0E04" w:rsidRPr="00683075">
        <w:t xml:space="preserve"> </w:t>
      </w:r>
      <w:proofErr w:type="spellStart"/>
      <w:r w:rsidRPr="00683075">
        <w:t>Fed-u</w:t>
      </w:r>
      <w:proofErr w:type="spellEnd"/>
      <w:r w:rsidRPr="00683075">
        <w:t>,</w:t>
      </w:r>
      <w:r w:rsidR="003E557A">
        <w:t xml:space="preserve"> a s </w:t>
      </w:r>
      <w:r w:rsidRPr="00683075">
        <w:t>tým spojeným možným odlivom</w:t>
      </w:r>
      <w:r w:rsidR="00BF0E04" w:rsidRPr="00683075">
        <w:t xml:space="preserve"> </w:t>
      </w:r>
      <w:r w:rsidRPr="00683075">
        <w:t>investícií</w:t>
      </w:r>
      <w:r w:rsidR="003E557A">
        <w:t xml:space="preserve"> z </w:t>
      </w:r>
      <w:r w:rsidRPr="00683075">
        <w:t>rizikovejších trhov</w:t>
      </w:r>
      <w:r w:rsidR="003E557A">
        <w:t xml:space="preserve"> a z </w:t>
      </w:r>
      <w:r w:rsidRPr="00683075">
        <w:t>rozvíjajúcich</w:t>
      </w:r>
      <w:r w:rsidR="00BF0E04" w:rsidRPr="00683075">
        <w:t xml:space="preserve"> </w:t>
      </w:r>
      <w:r w:rsidRPr="00683075">
        <w:t>sa ekonomík.</w:t>
      </w:r>
    </w:p>
    <w:p w:rsidR="00820B6E" w:rsidRPr="00683075" w:rsidRDefault="00820B6E" w:rsidP="00683075">
      <w:r w:rsidRPr="00683075">
        <w:t>Nízky ekonomický rast ako aj niektoré špecifické</w:t>
      </w:r>
      <w:r w:rsidR="00BF0E04" w:rsidRPr="00683075">
        <w:t xml:space="preserve"> </w:t>
      </w:r>
      <w:r w:rsidRPr="00683075">
        <w:t>legislatívne zmeny</w:t>
      </w:r>
      <w:r w:rsidR="003E557A">
        <w:t xml:space="preserve"> v </w:t>
      </w:r>
      <w:r w:rsidRPr="00683075">
        <w:t>niektorých sektoroch</w:t>
      </w:r>
      <w:r w:rsidR="00BF0E04" w:rsidRPr="00683075">
        <w:t xml:space="preserve"> </w:t>
      </w:r>
      <w:r w:rsidRPr="00683075">
        <w:t>finančného trhu prispeli</w:t>
      </w:r>
      <w:r w:rsidR="003E557A">
        <w:t xml:space="preserve"> k </w:t>
      </w:r>
      <w:r w:rsidRPr="00683075">
        <w:t>spomaleniu rastu aktív,</w:t>
      </w:r>
      <w:r w:rsidR="00BF0E04" w:rsidRPr="00683075">
        <w:t xml:space="preserve"> </w:t>
      </w:r>
      <w:r w:rsidRPr="00683075">
        <w:t>prípadne dokonca</w:t>
      </w:r>
      <w:r w:rsidR="003E557A">
        <w:t xml:space="preserve"> k </w:t>
      </w:r>
      <w:r w:rsidRPr="00683075">
        <w:t>ich poklesu</w:t>
      </w:r>
      <w:r w:rsidR="003E557A">
        <w:t xml:space="preserve"> v </w:t>
      </w:r>
      <w:r w:rsidRPr="00683075">
        <w:t>niektorých</w:t>
      </w:r>
      <w:r w:rsidR="00BF0E04" w:rsidRPr="00683075">
        <w:t xml:space="preserve"> </w:t>
      </w:r>
      <w:r w:rsidRPr="00683075">
        <w:t>segmentoch. Tento trend sa najvýraznejšie prejavil</w:t>
      </w:r>
      <w:r w:rsidR="003E557A">
        <w:t xml:space="preserve"> v </w:t>
      </w:r>
      <w:r w:rsidRPr="00683075">
        <w:t>starobnom dôchodkovom sporení,</w:t>
      </w:r>
      <w:r w:rsidR="003E557A">
        <w:t xml:space="preserve"> a </w:t>
      </w:r>
      <w:r w:rsidRPr="00683075">
        <w:t>to kvôli</w:t>
      </w:r>
      <w:r w:rsidR="00BF0E04" w:rsidRPr="00683075">
        <w:t xml:space="preserve"> </w:t>
      </w:r>
      <w:r w:rsidRPr="00683075">
        <w:t>kombinácii otvorenia systému, zmeny dobrovoľnosti</w:t>
      </w:r>
      <w:r w:rsidR="00BF0E04" w:rsidRPr="00683075">
        <w:t xml:space="preserve"> </w:t>
      </w:r>
      <w:r w:rsidRPr="00683075">
        <w:t>vstupov nad 35 rokov</w:t>
      </w:r>
      <w:r w:rsidR="003E557A">
        <w:t xml:space="preserve"> a </w:t>
      </w:r>
      <w:r w:rsidRPr="00683075">
        <w:t>znížením podielu</w:t>
      </w:r>
      <w:r w:rsidR="00BF0E04" w:rsidRPr="00683075">
        <w:t xml:space="preserve"> </w:t>
      </w:r>
      <w:r w:rsidRPr="00683075">
        <w:t>odvodov do druhého piliera. Na druhej strane,</w:t>
      </w:r>
      <w:r w:rsidR="00BF0E04" w:rsidRPr="00683075">
        <w:t xml:space="preserve"> </w:t>
      </w:r>
      <w:r w:rsidRPr="00683075">
        <w:t>výraznejší rast na úrovne blízko historických maxím</w:t>
      </w:r>
      <w:r w:rsidR="00EC7744" w:rsidRPr="00683075">
        <w:t xml:space="preserve"> </w:t>
      </w:r>
      <w:r w:rsidRPr="00683075">
        <w:t>zaznamenal sektor kolektívneho investovania.</w:t>
      </w:r>
      <w:r w:rsidR="00BF0E04" w:rsidRPr="00683075">
        <w:t xml:space="preserve"> </w:t>
      </w:r>
      <w:r w:rsidRPr="00683075">
        <w:t>Napriek zníženiu výnosnosti finančných aktív</w:t>
      </w:r>
      <w:r w:rsidR="00BF0E04" w:rsidRPr="00683075">
        <w:t xml:space="preserve"> </w:t>
      </w:r>
      <w:r w:rsidRPr="00683075">
        <w:t>naprieč jednotlivými segmentmi finančného</w:t>
      </w:r>
      <w:r w:rsidR="00BF0E04" w:rsidRPr="00683075">
        <w:t xml:space="preserve"> </w:t>
      </w:r>
      <w:r w:rsidRPr="00683075">
        <w:t>trhu však ich reálne zhodnotenie vďaka poklesu</w:t>
      </w:r>
      <w:r w:rsidR="00BF0E04" w:rsidRPr="00683075">
        <w:t xml:space="preserve"> </w:t>
      </w:r>
      <w:r w:rsidRPr="00683075">
        <w:t>inflácie vzrástlo.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Kým úvery retailu naďalej rástli, klesajúci objem</w:t>
      </w:r>
      <w:r w:rsidR="00BF0E04" w:rsidRPr="00683075">
        <w:t xml:space="preserve"> </w:t>
      </w:r>
      <w:r w:rsidRPr="00683075">
        <w:t>podnikových úverov odráža slabú ekonomickú</w:t>
      </w:r>
      <w:r w:rsidR="00BF0E04" w:rsidRPr="00683075">
        <w:t xml:space="preserve"> </w:t>
      </w:r>
      <w:r w:rsidRPr="00683075">
        <w:t>aktivitu aj neistotu ohľadne budúceho vývoja</w:t>
      </w:r>
    </w:p>
    <w:p w:rsidR="00820B6E" w:rsidRPr="00683075" w:rsidRDefault="00820B6E" w:rsidP="00683075">
      <w:r w:rsidRPr="00683075">
        <w:t xml:space="preserve">Dynamika objemu úverov poskytnutých </w:t>
      </w:r>
      <w:proofErr w:type="spellStart"/>
      <w:r w:rsidRPr="00683075">
        <w:t>retailovým</w:t>
      </w:r>
      <w:proofErr w:type="spellEnd"/>
      <w:r w:rsidR="00BF0E04" w:rsidRPr="00683075">
        <w:t xml:space="preserve"> </w:t>
      </w:r>
      <w:r w:rsidRPr="00683075">
        <w:t>klientom naďalej odráža najmä vývoj</w:t>
      </w:r>
      <w:r w:rsidR="00BF0E04" w:rsidRPr="00683075">
        <w:t xml:space="preserve"> </w:t>
      </w:r>
      <w:r w:rsidRPr="00683075">
        <w:t>úverov na bývanie. Medziročný rast úverov sa</w:t>
      </w:r>
      <w:r w:rsidR="00BF0E04" w:rsidRPr="00683075">
        <w:t xml:space="preserve"> </w:t>
      </w:r>
      <w:r w:rsidRPr="00683075">
        <w:t>počas sledovaného obdobia mierne zvyšoval.</w:t>
      </w:r>
      <w:r w:rsidR="00BF0E04" w:rsidRPr="00683075">
        <w:t xml:space="preserve"> </w:t>
      </w:r>
      <w:r w:rsidRPr="00683075">
        <w:t>Kým celkovo môže byť dopyt podporený pokračujúcim</w:t>
      </w:r>
      <w:r w:rsidR="00BF0E04" w:rsidRPr="00683075">
        <w:t xml:space="preserve"> </w:t>
      </w:r>
      <w:r w:rsidRPr="00683075">
        <w:t>stabilným vývojom cien nehnuteľností,</w:t>
      </w:r>
      <w:r w:rsidR="00BF0E04" w:rsidRPr="00683075">
        <w:t xml:space="preserve"> </w:t>
      </w:r>
      <w:r w:rsidRPr="00683075">
        <w:t>do veľkej miery bol počas prvého polroka</w:t>
      </w:r>
      <w:r w:rsidR="00BF0E04" w:rsidRPr="00683075">
        <w:t xml:space="preserve"> </w:t>
      </w:r>
      <w:r w:rsidRPr="00683075">
        <w:t>zvyšovaný aj klesajúcimi úrokovými sadzbami</w:t>
      </w:r>
      <w:r w:rsidR="00BF0E04" w:rsidRPr="00683075">
        <w:t xml:space="preserve"> </w:t>
      </w:r>
      <w:r w:rsidRPr="00683075">
        <w:t>na úvery.</w:t>
      </w:r>
      <w:r w:rsidR="003E557A">
        <w:t xml:space="preserve"> v </w:t>
      </w:r>
      <w:r w:rsidRPr="00683075">
        <w:t>prostredí nízkych úrokových sadzieb</w:t>
      </w:r>
      <w:r w:rsidR="00BF0E04" w:rsidRPr="00683075">
        <w:t xml:space="preserve"> </w:t>
      </w:r>
      <w:r w:rsidRPr="00683075">
        <w:t>sa navyše zvýšila konkurencia medzi</w:t>
      </w:r>
      <w:r w:rsidR="00BF0E04" w:rsidRPr="00683075">
        <w:t xml:space="preserve"> </w:t>
      </w:r>
      <w:r w:rsidRPr="00683075">
        <w:t>bankami, ktorá bola zároveň podporená možnosťou</w:t>
      </w:r>
      <w:r w:rsidR="00BF0E04" w:rsidRPr="00683075">
        <w:t xml:space="preserve"> </w:t>
      </w:r>
      <w:r w:rsidRPr="00683075">
        <w:lastRenderedPageBreak/>
        <w:t>splatiť úvery na bývanie bez poplatkov</w:t>
      </w:r>
      <w:r w:rsidR="003E557A">
        <w:t xml:space="preserve"> v </w:t>
      </w:r>
      <w:r w:rsidRPr="00683075">
        <w:t>čase fixácie.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Otázniky nad budúcim ekonomickým vývojom</w:t>
      </w:r>
      <w:r w:rsidR="003E557A">
        <w:t xml:space="preserve"> a </w:t>
      </w:r>
      <w:r w:rsidRPr="00683075">
        <w:t>opatrnosť</w:t>
      </w:r>
      <w:r w:rsidR="003E557A">
        <w:t xml:space="preserve"> z </w:t>
      </w:r>
      <w:r w:rsidRPr="00683075">
        <w:t>dôvodu nepresvedčivej aktuálnej</w:t>
      </w:r>
      <w:r w:rsidR="00BF0E04" w:rsidRPr="00683075">
        <w:t xml:space="preserve"> </w:t>
      </w:r>
      <w:r w:rsidRPr="00683075">
        <w:t>ekonomickej aktivity sa odrazili aj na pokračujúcom</w:t>
      </w:r>
      <w:r w:rsidR="00BF0E04" w:rsidRPr="00683075">
        <w:t xml:space="preserve"> </w:t>
      </w:r>
      <w:r w:rsidRPr="00683075">
        <w:t>poklese celkového objemu podnikových</w:t>
      </w:r>
      <w:r w:rsidR="00BF0E04" w:rsidRPr="00683075">
        <w:t xml:space="preserve"> </w:t>
      </w:r>
      <w:r w:rsidRPr="00683075">
        <w:t>úverov. Tento pokles je naďalej pomerne homogénny,</w:t>
      </w:r>
      <w:r w:rsidR="00BF0E04" w:rsidRPr="00683075">
        <w:t xml:space="preserve"> </w:t>
      </w:r>
      <w:r w:rsidRPr="00683075">
        <w:t>či už</w:t>
      </w:r>
      <w:r w:rsidR="003E557A">
        <w:t xml:space="preserve"> z </w:t>
      </w:r>
      <w:r w:rsidRPr="00683075">
        <w:t>pohľadu jednotlivých odvetví alebo</w:t>
      </w:r>
      <w:r w:rsidR="00BF0E04" w:rsidRPr="00683075">
        <w:t xml:space="preserve"> </w:t>
      </w:r>
      <w:r w:rsidRPr="00683075">
        <w:t>bánk,</w:t>
      </w:r>
      <w:r w:rsidR="003E557A">
        <w:t xml:space="preserve"> a </w:t>
      </w:r>
      <w:r w:rsidRPr="00683075">
        <w:t>je ovplyvnený tak dopytovými, ako aj</w:t>
      </w:r>
      <w:r w:rsidR="00BF0E04" w:rsidRPr="00683075">
        <w:t xml:space="preserve"> </w:t>
      </w:r>
      <w:r w:rsidRPr="00683075">
        <w:t>ponukovými faktormi.</w:t>
      </w:r>
    </w:p>
    <w:p w:rsidR="00EC7744" w:rsidRPr="00683075" w:rsidRDefault="00820B6E" w:rsidP="00D77337">
      <w:pPr>
        <w:pStyle w:val="zvyraznene"/>
      </w:pPr>
      <w:r w:rsidRPr="00683075">
        <w:t>Kreditné riziko mierne stúplo, negatívny dopad na</w:t>
      </w:r>
      <w:r w:rsidR="00BF0E04" w:rsidRPr="00683075">
        <w:t xml:space="preserve"> </w:t>
      </w:r>
      <w:r w:rsidRPr="00683075">
        <w:t>banky je však zmierňovaný dostatočnou mierou</w:t>
      </w:r>
      <w:r w:rsidR="00BF0E04" w:rsidRPr="00683075">
        <w:t xml:space="preserve"> </w:t>
      </w:r>
      <w:r w:rsidRPr="00683075">
        <w:t>ziskovosti</w:t>
      </w:r>
      <w:r w:rsidR="003E557A">
        <w:t xml:space="preserve"> a </w:t>
      </w:r>
      <w:r w:rsidRPr="00683075">
        <w:t>primeranosti vlastných zdrojov</w:t>
      </w:r>
    </w:p>
    <w:p w:rsidR="00820B6E" w:rsidRPr="00683075" w:rsidRDefault="00820B6E" w:rsidP="00683075">
      <w:r w:rsidRPr="00683075">
        <w:t>Slabá ekonomická aktivita sa odzrkadlila na kreditnej</w:t>
      </w:r>
      <w:r w:rsidR="00BF0E04" w:rsidRPr="00683075">
        <w:t xml:space="preserve"> </w:t>
      </w:r>
      <w:r w:rsidRPr="00683075">
        <w:t>kvalite úverového portfólia. Banky zaznamenali</w:t>
      </w:r>
      <w:r w:rsidR="00BF0E04" w:rsidRPr="00683075">
        <w:t xml:space="preserve"> </w:t>
      </w:r>
      <w:r w:rsidRPr="00683075">
        <w:t>čiastočný nárast nákladov na kreditné</w:t>
      </w:r>
      <w:r w:rsidR="00BF0E04" w:rsidRPr="00683075">
        <w:t xml:space="preserve"> </w:t>
      </w:r>
      <w:r w:rsidRPr="00683075">
        <w:t>riziko najmä</w:t>
      </w:r>
      <w:r w:rsidR="003E557A">
        <w:t xml:space="preserve"> v </w:t>
      </w:r>
      <w:r w:rsidRPr="00683075">
        <w:t xml:space="preserve">prípade </w:t>
      </w:r>
      <w:proofErr w:type="spellStart"/>
      <w:r w:rsidRPr="00683075">
        <w:t>retailových</w:t>
      </w:r>
      <w:proofErr w:type="spellEnd"/>
      <w:r w:rsidRPr="00683075">
        <w:t xml:space="preserve"> úverov.</w:t>
      </w:r>
      <w:r w:rsidR="003E557A">
        <w:t xml:space="preserve"> z </w:t>
      </w:r>
      <w:r w:rsidRPr="00683075">
        <w:t>podnikových</w:t>
      </w:r>
      <w:r w:rsidR="00BF0E04" w:rsidRPr="00683075">
        <w:t xml:space="preserve"> </w:t>
      </w:r>
      <w:r w:rsidRPr="00683075">
        <w:t>úverov sa to týkalo vybraných odvetví,</w:t>
      </w:r>
      <w:r w:rsidR="00BF0E04" w:rsidRPr="00683075">
        <w:t xml:space="preserve"> </w:t>
      </w:r>
      <w:r w:rsidRPr="00683075">
        <w:t>najmä sektora nehnuteľností. Hlavným faktorom</w:t>
      </w:r>
      <w:r w:rsidR="00BF0E04" w:rsidRPr="00683075">
        <w:t xml:space="preserve"> </w:t>
      </w:r>
      <w:r w:rsidRPr="00683075">
        <w:t>zmierňujúcim kreditné riziko ostáva nízka úroveň</w:t>
      </w:r>
      <w:r w:rsidR="00BF0E04" w:rsidRPr="00683075">
        <w:t xml:space="preserve"> </w:t>
      </w:r>
      <w:r w:rsidRPr="00683075">
        <w:t>úrokových sadzieb. Prípadný výraznejší rast</w:t>
      </w:r>
      <w:r w:rsidR="00BF0E04" w:rsidRPr="00683075">
        <w:t xml:space="preserve"> </w:t>
      </w:r>
      <w:r w:rsidRPr="00683075">
        <w:t>úrokových sadzieb nasledujúci po dlhšom období</w:t>
      </w:r>
      <w:r w:rsidR="00BF0E04" w:rsidRPr="00683075">
        <w:t xml:space="preserve"> </w:t>
      </w:r>
      <w:r w:rsidRPr="00683075">
        <w:t>ich stagnácie na nízkych úrovniach, ktorý by</w:t>
      </w:r>
      <w:r w:rsidR="00BF0E04" w:rsidRPr="00683075">
        <w:t xml:space="preserve"> </w:t>
      </w:r>
      <w:r w:rsidRPr="00683075">
        <w:t>spôsobil nárast úverových splátok, by však mohol</w:t>
      </w:r>
      <w:r w:rsidR="00BF0E04" w:rsidRPr="00683075">
        <w:t xml:space="preserve"> </w:t>
      </w:r>
      <w:r w:rsidRPr="00683075">
        <w:t>predstavovať zvýšené riziko pre zhoršenie</w:t>
      </w:r>
      <w:r w:rsidR="00BF0E04" w:rsidRPr="00683075">
        <w:t xml:space="preserve"> </w:t>
      </w:r>
      <w:r w:rsidRPr="00683075">
        <w:t>finančnej situácie klientov.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Ďalší vývoj kvality úverového portfólia bude do</w:t>
      </w:r>
      <w:r w:rsidR="00BF0E04" w:rsidRPr="00683075">
        <w:t xml:space="preserve"> </w:t>
      </w:r>
      <w:r w:rsidRPr="00683075">
        <w:t>veľkej miery závisieť od vývoja</w:t>
      </w:r>
      <w:r w:rsidR="003E557A">
        <w:t xml:space="preserve"> v </w:t>
      </w:r>
      <w:r w:rsidRPr="00683075">
        <w:t>ekonomike, kde</w:t>
      </w:r>
      <w:r w:rsidR="00BF0E04" w:rsidRPr="00683075">
        <w:t xml:space="preserve"> </w:t>
      </w:r>
      <w:r w:rsidRPr="00683075">
        <w:t>naďalej pretrváva výrazná neistota,</w:t>
      </w:r>
      <w:r w:rsidR="003E557A">
        <w:t xml:space="preserve"> a </w:t>
      </w:r>
      <w:r w:rsidRPr="00683075">
        <w:t>to napriek</w:t>
      </w:r>
      <w:r w:rsidR="00BF0E04" w:rsidRPr="00683075">
        <w:t xml:space="preserve"> </w:t>
      </w:r>
      <w:r w:rsidRPr="00683075">
        <w:t>niektorým pozitívnym signálom</w:t>
      </w:r>
      <w:r w:rsidR="003E557A">
        <w:t xml:space="preserve"> v </w:t>
      </w:r>
      <w:r w:rsidRPr="00683075">
        <w:t>oblasti domáceho</w:t>
      </w:r>
      <w:r w:rsidR="00BF0E04" w:rsidRPr="00683075">
        <w:t xml:space="preserve"> </w:t>
      </w:r>
      <w:r w:rsidRPr="00683075">
        <w:t>trhu práce, ako aj</w:t>
      </w:r>
      <w:r w:rsidR="003E557A">
        <w:t xml:space="preserve"> z </w:t>
      </w:r>
      <w:r w:rsidRPr="00683075">
        <w:t>makroekonomického</w:t>
      </w:r>
      <w:r w:rsidR="00BF0E04" w:rsidRPr="00683075">
        <w:t xml:space="preserve"> </w:t>
      </w:r>
      <w:r w:rsidRPr="00683075">
        <w:t>prostredia eurozóny.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Na druhej strane, zdrojom rizík</w:t>
      </w:r>
      <w:r w:rsidR="003E557A">
        <w:t xml:space="preserve"> v </w:t>
      </w:r>
      <w:r w:rsidRPr="00683075">
        <w:t>budúcnosti</w:t>
      </w:r>
      <w:r w:rsidR="00BF0E04" w:rsidRPr="00683075">
        <w:t xml:space="preserve"> </w:t>
      </w:r>
      <w:r w:rsidRPr="00683075">
        <w:t>môže byť poskytovanie úverov na bývanie pri</w:t>
      </w:r>
      <w:r w:rsidR="00BF0E04" w:rsidRPr="00683075">
        <w:t xml:space="preserve"> </w:t>
      </w:r>
      <w:r w:rsidRPr="00683075">
        <w:t>nižšej požiadavke na hodnotu zabezpečenia,</w:t>
      </w:r>
      <w:r w:rsidR="00BF0E04" w:rsidRPr="00683075">
        <w:t xml:space="preserve"> </w:t>
      </w:r>
      <w:r w:rsidRPr="00683075">
        <w:t>krátkej fixácii úrokových sadzieb alebo vysokom</w:t>
      </w:r>
      <w:r w:rsidR="00BF0E04" w:rsidRPr="00683075">
        <w:t xml:space="preserve"> </w:t>
      </w:r>
      <w:r w:rsidRPr="00683075">
        <w:t>pomere splátok</w:t>
      </w:r>
      <w:r w:rsidR="003E557A">
        <w:t xml:space="preserve"> k </w:t>
      </w:r>
      <w:r w:rsidRPr="00683075">
        <w:t>príjmom. Špecifickým rizikom</w:t>
      </w:r>
      <w:r w:rsidR="00BF0E04" w:rsidRPr="00683075">
        <w:t xml:space="preserve"> </w:t>
      </w:r>
      <w:r w:rsidRPr="00683075">
        <w:t>slovenského bankového sektora je vysoká koncentrácia</w:t>
      </w:r>
      <w:r w:rsidR="00BF0E04" w:rsidRPr="00683075">
        <w:t xml:space="preserve"> </w:t>
      </w:r>
      <w:r w:rsidRPr="00683075">
        <w:t>vystavenia niektorých, hlavne stredne</w:t>
      </w:r>
      <w:r w:rsidR="00BF0E04" w:rsidRPr="00683075">
        <w:t xml:space="preserve"> </w:t>
      </w:r>
      <w:r w:rsidRPr="00683075">
        <w:t>veľkých</w:t>
      </w:r>
      <w:r w:rsidR="003E557A">
        <w:t xml:space="preserve"> a </w:t>
      </w:r>
      <w:r w:rsidRPr="00683075">
        <w:t>menších bánk, voči individuálnym</w:t>
      </w:r>
      <w:r w:rsidR="00BF0E04" w:rsidRPr="00683075">
        <w:t xml:space="preserve"> </w:t>
      </w:r>
      <w:r w:rsidRPr="00683075">
        <w:t>skupinám klientov alebo voči vlastnej finančnej</w:t>
      </w:r>
      <w:r w:rsidR="00BF0E04" w:rsidRPr="00683075">
        <w:t xml:space="preserve"> </w:t>
      </w:r>
      <w:r w:rsidRPr="00683075">
        <w:t>skupine.</w:t>
      </w:r>
      <w:r w:rsidR="003E557A">
        <w:t xml:space="preserve"> v </w:t>
      </w:r>
      <w:r w:rsidRPr="00683075">
        <w:t>niektorých prípadoch by prípadné</w:t>
      </w:r>
      <w:r w:rsidR="00BF0E04" w:rsidRPr="00683075">
        <w:t xml:space="preserve"> </w:t>
      </w:r>
      <w:r w:rsidRPr="00683075">
        <w:t>zlyhanie vzájomne prepojenej skupiny klientov</w:t>
      </w:r>
      <w:r w:rsidR="00BF0E04" w:rsidRPr="00683075">
        <w:t xml:space="preserve"> </w:t>
      </w:r>
      <w:r w:rsidRPr="00683075">
        <w:t>mohlo viesť</w:t>
      </w:r>
      <w:r w:rsidR="003E557A">
        <w:t xml:space="preserve"> k </w:t>
      </w:r>
      <w:r w:rsidRPr="00683075">
        <w:t>výrazným stratám</w:t>
      </w:r>
      <w:r w:rsidR="003E557A">
        <w:t xml:space="preserve"> v </w:t>
      </w:r>
      <w:r w:rsidRPr="00683075">
        <w:t>niekoľkých</w:t>
      </w:r>
      <w:r w:rsidR="00BF0E04" w:rsidRPr="00683075">
        <w:t xml:space="preserve"> </w:t>
      </w:r>
      <w:r w:rsidRPr="00683075">
        <w:t>bankách súčasne.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Slovenské banky majú zároveň vysoký podiel</w:t>
      </w:r>
      <w:r w:rsidR="00BF0E04" w:rsidRPr="00683075">
        <w:t xml:space="preserve"> </w:t>
      </w:r>
      <w:r w:rsidRPr="00683075">
        <w:t>slovenských štátnych dlhopisov</w:t>
      </w:r>
      <w:r w:rsidR="003E557A">
        <w:t xml:space="preserve"> v </w:t>
      </w:r>
      <w:r w:rsidRPr="00683075">
        <w:t>svojich bilanciách.</w:t>
      </w:r>
      <w:r w:rsidR="00BF0E04" w:rsidRPr="00683075">
        <w:t xml:space="preserve"> </w:t>
      </w:r>
      <w:r w:rsidRPr="00683075">
        <w:t>Tento podiel je jeden</w:t>
      </w:r>
      <w:r w:rsidR="003E557A">
        <w:t xml:space="preserve"> z </w:t>
      </w:r>
      <w:r w:rsidRPr="00683075">
        <w:t>najvyšších</w:t>
      </w:r>
      <w:r w:rsidR="003E557A">
        <w:t xml:space="preserve"> v </w:t>
      </w:r>
      <w:r w:rsidRPr="00683075">
        <w:t>EÚ.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Z pohľadu stability bankového sektora je vzhľadom</w:t>
      </w:r>
      <w:r w:rsidR="00BF0E04" w:rsidRPr="00683075">
        <w:t xml:space="preserve"> </w:t>
      </w:r>
      <w:r w:rsidRPr="00683075">
        <w:t>na pretrvávajúce riziká ďalšieho zvýšenia</w:t>
      </w:r>
      <w:r w:rsidR="00BF0E04" w:rsidRPr="00683075">
        <w:t xml:space="preserve"> </w:t>
      </w:r>
      <w:r w:rsidRPr="00683075">
        <w:t>nákladov na kreditné riziko dôležitá najmä vysoká</w:t>
      </w:r>
      <w:r w:rsidR="00BF0E04" w:rsidRPr="00683075">
        <w:t xml:space="preserve"> </w:t>
      </w:r>
      <w:r w:rsidRPr="00683075">
        <w:t>schopnosť väčšiny bánk absorbovať výrazné</w:t>
      </w:r>
      <w:r w:rsidR="00BF0E04" w:rsidRPr="00683075">
        <w:t xml:space="preserve"> </w:t>
      </w:r>
      <w:r w:rsidRPr="00683075">
        <w:t>straty. Táto schopnosť sa prejavuje najmä vysokou</w:t>
      </w:r>
      <w:r w:rsidR="00BF0E04" w:rsidRPr="00683075">
        <w:t xml:space="preserve"> </w:t>
      </w:r>
      <w:r w:rsidRPr="00683075">
        <w:t>hodnotou primeranosti vlastných zdrojov</w:t>
      </w:r>
      <w:r w:rsidR="00BF0E04" w:rsidRPr="00683075">
        <w:t xml:space="preserve"> </w:t>
      </w:r>
      <w:r w:rsidRPr="00683075">
        <w:t>(16,2%), ktorá je najvyššia od roku 2005. Solventnosť</w:t>
      </w:r>
      <w:r w:rsidR="00EC7744" w:rsidRPr="00683075">
        <w:t xml:space="preserve"> </w:t>
      </w:r>
      <w:r w:rsidRPr="00683075">
        <w:t>bankového sektora bola ďalej posilnená</w:t>
      </w:r>
      <w:r w:rsidR="00BF0E04" w:rsidRPr="00683075">
        <w:t xml:space="preserve"> </w:t>
      </w:r>
      <w:r w:rsidRPr="00683075">
        <w:t>predovšetkým vďaka ponechaniu približne štvrtiny</w:t>
      </w:r>
      <w:r w:rsidR="00BF0E04" w:rsidRPr="00683075">
        <w:t xml:space="preserve"> </w:t>
      </w:r>
      <w:r w:rsidRPr="00683075">
        <w:t>zisku dosiahnutého</w:t>
      </w:r>
      <w:r w:rsidR="003E557A">
        <w:t xml:space="preserve"> v </w:t>
      </w:r>
      <w:r w:rsidRPr="00683075">
        <w:t>roku 2012 na zvýšenie</w:t>
      </w:r>
      <w:r w:rsidR="00BF0E04" w:rsidRPr="00683075">
        <w:t xml:space="preserve"> </w:t>
      </w:r>
      <w:r w:rsidRPr="00683075">
        <w:t>vlastných zdrojov.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Na vysokú kapitálovú pozíciu sektora nadväzujú</w:t>
      </w:r>
      <w:r w:rsidR="00BF0E04" w:rsidRPr="00683075">
        <w:t xml:space="preserve"> </w:t>
      </w:r>
      <w:r w:rsidRPr="00683075">
        <w:t xml:space="preserve">aj pozitívne výsledky </w:t>
      </w:r>
      <w:proofErr w:type="spellStart"/>
      <w:r w:rsidRPr="00683075">
        <w:t>makrostresového</w:t>
      </w:r>
      <w:proofErr w:type="spellEnd"/>
      <w:r w:rsidRPr="00683075">
        <w:t xml:space="preserve"> testovania.</w:t>
      </w:r>
      <w:r w:rsidR="00BF0E04" w:rsidRPr="00683075">
        <w:t xml:space="preserve"> </w:t>
      </w:r>
      <w:r w:rsidRPr="00683075">
        <w:t>Odhady potvrdili odolnosť bánk voči</w:t>
      </w:r>
      <w:r w:rsidR="00BF0E04" w:rsidRPr="00683075">
        <w:t xml:space="preserve"> </w:t>
      </w:r>
      <w:r w:rsidRPr="00683075">
        <w:t>negatívnemu vývoju reálnej ekonomiky aj na</w:t>
      </w:r>
      <w:r w:rsidR="00BF0E04" w:rsidRPr="00683075">
        <w:t xml:space="preserve"> </w:t>
      </w:r>
      <w:r w:rsidRPr="00683075">
        <w:t>finančných trhoch,</w:t>
      </w:r>
      <w:r w:rsidR="003E557A">
        <w:t xml:space="preserve"> a s </w:t>
      </w:r>
      <w:r w:rsidRPr="00683075">
        <w:t>tým súvisiacim výrazným</w:t>
      </w:r>
      <w:r w:rsidR="00BF0E04" w:rsidRPr="00683075">
        <w:t xml:space="preserve"> </w:t>
      </w:r>
      <w:r w:rsidRPr="00683075">
        <w:lastRenderedPageBreak/>
        <w:t>rastom nákladov na kreditné riziko, keď potreba</w:t>
      </w:r>
      <w:r w:rsidR="00BF0E04" w:rsidRPr="00683075">
        <w:t xml:space="preserve"> </w:t>
      </w:r>
      <w:r w:rsidRPr="00683075">
        <w:t>dodatočného kapitálu by ani pri jednom scenári</w:t>
      </w:r>
      <w:r w:rsidR="00BF0E04" w:rsidRPr="00683075">
        <w:t xml:space="preserve"> </w:t>
      </w:r>
      <w:r w:rsidRPr="00683075">
        <w:t>nepredstavovala výraznejšiu sumu.</w:t>
      </w:r>
    </w:p>
    <w:p w:rsidR="00820B6E" w:rsidRPr="00683075" w:rsidRDefault="00820B6E" w:rsidP="00D77337">
      <w:pPr>
        <w:pStyle w:val="zvyraznene"/>
      </w:pPr>
      <w:r w:rsidRPr="00683075">
        <w:t>Bankový sektor zaznamenal mierny medziročný rast</w:t>
      </w:r>
      <w:r w:rsidR="00BF0E04" w:rsidRPr="00683075">
        <w:t xml:space="preserve"> </w:t>
      </w:r>
      <w:r w:rsidRPr="00683075">
        <w:t>ziskovosti</w:t>
      </w:r>
      <w:r w:rsidR="00BF0E04" w:rsidRPr="00683075">
        <w:t xml:space="preserve"> </w:t>
      </w:r>
    </w:p>
    <w:p w:rsidR="00820B6E" w:rsidRPr="00683075" w:rsidRDefault="00820B6E" w:rsidP="00683075">
      <w:r w:rsidRPr="00683075">
        <w:t>Napriek rastu nákladov na kreditné riziko zaznamenal</w:t>
      </w:r>
      <w:r w:rsidR="00BF0E04" w:rsidRPr="00683075">
        <w:t xml:space="preserve"> </w:t>
      </w:r>
      <w:r w:rsidRPr="00683075">
        <w:t>sektor ako celok mierny medziročný</w:t>
      </w:r>
      <w:r w:rsidR="00BF0E04" w:rsidRPr="00683075">
        <w:t xml:space="preserve"> </w:t>
      </w:r>
      <w:r w:rsidRPr="00683075">
        <w:t>nárast ziskovosti, ktorý odráža vplyv viacerých</w:t>
      </w:r>
      <w:r w:rsidR="00BF0E04" w:rsidRPr="00683075">
        <w:t xml:space="preserve"> </w:t>
      </w:r>
      <w:r w:rsidRPr="00683075">
        <w:t>trendov. Hlavnými faktormi podporujúcimi rast</w:t>
      </w:r>
      <w:r w:rsidR="00BF0E04" w:rsidRPr="00683075">
        <w:t xml:space="preserve"> </w:t>
      </w:r>
      <w:r w:rsidRPr="00683075">
        <w:t>ziskovosti boli predovšetkým pretrvávajúci rast</w:t>
      </w:r>
      <w:r w:rsidR="00BF0E04" w:rsidRPr="00683075">
        <w:t xml:space="preserve"> </w:t>
      </w:r>
      <w:r w:rsidRPr="00683075">
        <w:t>úverov domácnostiam</w:t>
      </w:r>
      <w:r w:rsidR="003E557A">
        <w:t xml:space="preserve"> a </w:t>
      </w:r>
      <w:r w:rsidRPr="00683075">
        <w:t>zníženie nákladovosti</w:t>
      </w:r>
      <w:r w:rsidR="00BF0E04" w:rsidRPr="00683075">
        <w:t xml:space="preserve"> </w:t>
      </w:r>
      <w:r w:rsidRPr="00683075">
        <w:t>zdrojov financovania sa bánk. Na druhej strane,</w:t>
      </w:r>
      <w:r w:rsidR="00BF0E04" w:rsidRPr="00683075">
        <w:t xml:space="preserve"> </w:t>
      </w:r>
      <w:r w:rsidRPr="00683075">
        <w:t>popri kreditnom riziku tlmí rast ziskovosti aj pokles</w:t>
      </w:r>
      <w:r w:rsidR="00BF0E04" w:rsidRPr="00683075">
        <w:t xml:space="preserve"> </w:t>
      </w:r>
      <w:r w:rsidRPr="00683075">
        <w:t>úrokovej výnosovosti aktív spojený</w:t>
      </w:r>
      <w:r w:rsidR="003E557A">
        <w:t xml:space="preserve"> s </w:t>
      </w:r>
      <w:r w:rsidRPr="00683075">
        <w:t>pretrvávajúcim</w:t>
      </w:r>
      <w:r w:rsidR="00BF0E04" w:rsidRPr="00683075">
        <w:t xml:space="preserve"> </w:t>
      </w:r>
      <w:r w:rsidRPr="00683075">
        <w:t>obdobím nízkych úrokových sadzieb.</w:t>
      </w:r>
      <w:r w:rsidR="00BF0E04" w:rsidRPr="00683075">
        <w:t xml:space="preserve"> </w:t>
      </w:r>
      <w:r w:rsidRPr="00683075">
        <w:t>Čisté úrokové výnosy sú negatívne ovplyvnené</w:t>
      </w:r>
      <w:r w:rsidR="00BF0E04" w:rsidRPr="00683075">
        <w:t xml:space="preserve"> </w:t>
      </w:r>
      <w:r w:rsidRPr="00683075">
        <w:t>aj pokračujúcim poklesom celkového objemu</w:t>
      </w:r>
      <w:r w:rsidR="00BF0E04" w:rsidRPr="00683075">
        <w:t xml:space="preserve"> </w:t>
      </w:r>
      <w:r w:rsidRPr="00683075">
        <w:t>podnikových úverov.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Z hľadiska trhových rizík je najvýznamnejším</w:t>
      </w:r>
      <w:r w:rsidR="00BF0E04" w:rsidRPr="00683075">
        <w:t xml:space="preserve"> </w:t>
      </w:r>
      <w:r w:rsidRPr="00683075">
        <w:t>zdrojom rizika vo väčšine sektorov zmena výnosov</w:t>
      </w:r>
      <w:r w:rsidR="00BF0E04" w:rsidRPr="00683075">
        <w:t xml:space="preserve"> </w:t>
      </w:r>
      <w:r w:rsidRPr="00683075">
        <w:t>štátnych dlhopisov</w:t>
      </w:r>
    </w:p>
    <w:p w:rsidR="00820B6E" w:rsidRPr="00683075" w:rsidRDefault="00820B6E" w:rsidP="00683075">
      <w:r w:rsidRPr="00683075">
        <w:t>Na viaceré segmenty finančného trhu by</w:t>
      </w:r>
      <w:r w:rsidR="003E557A">
        <w:t xml:space="preserve"> v </w:t>
      </w:r>
      <w:r w:rsidRPr="00683075">
        <w:t>krátkodobom</w:t>
      </w:r>
      <w:r w:rsidR="00BF0E04" w:rsidRPr="00683075">
        <w:t xml:space="preserve"> </w:t>
      </w:r>
      <w:r w:rsidRPr="00683075">
        <w:t>horizonte pomerne nepriaznivo vplývalo</w:t>
      </w:r>
      <w:r w:rsidR="00BF0E04" w:rsidRPr="00683075">
        <w:t xml:space="preserve"> </w:t>
      </w:r>
      <w:r w:rsidRPr="00683075">
        <w:t>opätovné prehĺbenie dlhovej krízy spojené</w:t>
      </w:r>
      <w:r w:rsidR="003E557A">
        <w:t xml:space="preserve"> s </w:t>
      </w:r>
      <w:r w:rsidRPr="00683075">
        <w:t>rastom nedôvery</w:t>
      </w:r>
      <w:r w:rsidR="003E557A">
        <w:t xml:space="preserve"> a </w:t>
      </w:r>
      <w:r w:rsidRPr="00683075">
        <w:t>kreditných prirážok na štátne</w:t>
      </w:r>
      <w:r w:rsidR="00BF0E04" w:rsidRPr="00683075">
        <w:t xml:space="preserve"> </w:t>
      </w:r>
      <w:r w:rsidRPr="00683075">
        <w:t>dlhopisy. Výrazne negatívnym vplyvom by sa</w:t>
      </w:r>
      <w:r w:rsidR="00BF0E04" w:rsidRPr="00683075">
        <w:t xml:space="preserve"> </w:t>
      </w:r>
      <w:r w:rsidRPr="00683075">
        <w:t>táto situácia prejavila, ak by sa nedôvera rozšírila</w:t>
      </w:r>
      <w:r w:rsidR="00BF0E04" w:rsidRPr="00683075">
        <w:t xml:space="preserve"> </w:t>
      </w:r>
      <w:r w:rsidRPr="00683075">
        <w:t>aj na dlhopisy krajín strednej Európy vrátane Slovenska.</w:t>
      </w:r>
      <w:r w:rsidR="00BF0E04" w:rsidRPr="00683075">
        <w:t xml:space="preserve"> </w:t>
      </w:r>
      <w:r w:rsidRPr="00683075">
        <w:t>Vystavenie niektorých segmentov, najmä</w:t>
      </w:r>
      <w:r w:rsidR="00BF0E04" w:rsidRPr="00683075">
        <w:t xml:space="preserve"> </w:t>
      </w:r>
      <w:r w:rsidRPr="00683075">
        <w:t>fondov DSS, voči tomuto riziku sa počas prvého</w:t>
      </w:r>
      <w:r w:rsidR="00BF0E04" w:rsidRPr="00683075">
        <w:t xml:space="preserve"> </w:t>
      </w:r>
      <w:r w:rsidRPr="00683075">
        <w:t xml:space="preserve">polroka kvôli zvýšeniu </w:t>
      </w:r>
      <w:proofErr w:type="spellStart"/>
      <w:r w:rsidRPr="00683075">
        <w:t>durácie</w:t>
      </w:r>
      <w:proofErr w:type="spellEnd"/>
      <w:r w:rsidRPr="00683075">
        <w:t xml:space="preserve"> portfólií pomerne</w:t>
      </w:r>
      <w:r w:rsidR="00BF0E04" w:rsidRPr="00683075">
        <w:t xml:space="preserve"> </w:t>
      </w:r>
      <w:r w:rsidRPr="00683075">
        <w:t>výrazne zvýšilo. Okrem toho sa zvýšila citlivosť</w:t>
      </w:r>
      <w:r w:rsidR="00BF0E04" w:rsidRPr="00683075">
        <w:t xml:space="preserve"> </w:t>
      </w:r>
      <w:r w:rsidRPr="00683075">
        <w:t>týchto fondov aj na prípadný nepriaznivý vývoj</w:t>
      </w:r>
      <w:r w:rsidR="00BF0E04" w:rsidRPr="00683075">
        <w:t xml:space="preserve"> </w:t>
      </w:r>
      <w:r w:rsidRPr="00683075">
        <w:t>na akciových trhoch.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Na druhej strane, dlhé obdobie nízkych výnosov</w:t>
      </w:r>
      <w:r w:rsidR="00BF0E04" w:rsidRPr="00683075">
        <w:t xml:space="preserve"> </w:t>
      </w:r>
      <w:r w:rsidRPr="00683075">
        <w:t>menej rizikových aktív by mohlo mať pomerne</w:t>
      </w:r>
      <w:r w:rsidR="00BF0E04" w:rsidRPr="00683075">
        <w:t xml:space="preserve"> </w:t>
      </w:r>
      <w:r w:rsidRPr="00683075">
        <w:t>negatívny dopad na ziskovosť životného poistenia.</w:t>
      </w:r>
      <w:r w:rsidR="003E557A">
        <w:t xml:space="preserve"> v </w:t>
      </w:r>
      <w:r w:rsidRPr="00683075">
        <w:t>tomto odvetví bol zaznamenaný pokles</w:t>
      </w:r>
      <w:r w:rsidR="00BF0E04" w:rsidRPr="00683075">
        <w:t xml:space="preserve"> </w:t>
      </w:r>
      <w:r w:rsidRPr="00683075">
        <w:t>investičného výnosu</w:t>
      </w:r>
      <w:r w:rsidR="003E557A">
        <w:t xml:space="preserve"> z </w:t>
      </w:r>
      <w:r w:rsidRPr="00683075">
        <w:t>aktív len tesne nad priemernú</w:t>
      </w:r>
      <w:r w:rsidR="00BF0E04" w:rsidRPr="00683075">
        <w:t xml:space="preserve"> </w:t>
      </w:r>
      <w:r w:rsidRPr="00683075">
        <w:t>úroveň garantovaného výnosu.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V životnom poistení zaznamenalo rast klasické</w:t>
      </w:r>
      <w:r w:rsidR="00BF0E04" w:rsidRPr="00683075">
        <w:t xml:space="preserve"> </w:t>
      </w:r>
      <w:r w:rsidRPr="00683075">
        <w:t>životné poistenie,</w:t>
      </w:r>
      <w:r w:rsidR="003E557A">
        <w:t xml:space="preserve"> v </w:t>
      </w:r>
      <w:r w:rsidRPr="00683075">
        <w:t>neživotnom poistení pokračujú</w:t>
      </w:r>
      <w:r w:rsidR="00BF0E04" w:rsidRPr="00683075">
        <w:t xml:space="preserve"> </w:t>
      </w:r>
      <w:r w:rsidRPr="00683075">
        <w:t>negatívne trendy</w:t>
      </w:r>
      <w:r w:rsidR="003E557A">
        <w:t xml:space="preserve"> v </w:t>
      </w:r>
      <w:r w:rsidRPr="00683075">
        <w:t>poistení áut</w:t>
      </w:r>
    </w:p>
    <w:p w:rsidR="00EC7744" w:rsidRPr="00683075" w:rsidRDefault="00820B6E" w:rsidP="00683075">
      <w:r w:rsidRPr="00683075">
        <w:t>Ziskovosť poistného sektora sa medziročne významne</w:t>
      </w:r>
      <w:r w:rsidR="00BF0E04" w:rsidRPr="00683075">
        <w:t xml:space="preserve"> </w:t>
      </w:r>
      <w:r w:rsidRPr="00683075">
        <w:t>nemenila</w:t>
      </w:r>
      <w:r w:rsidR="003E557A">
        <w:t xml:space="preserve"> a </w:t>
      </w:r>
      <w:r w:rsidRPr="00683075">
        <w:t>ostáva dostatočná. Solventnosť</w:t>
      </w:r>
      <w:r w:rsidR="00BF0E04" w:rsidRPr="00683075">
        <w:t xml:space="preserve"> </w:t>
      </w:r>
      <w:r w:rsidRPr="00683075">
        <w:t>poisťovní sa ku koncu roka 2012 výrazne</w:t>
      </w:r>
      <w:r w:rsidR="00BF0E04" w:rsidRPr="00683075">
        <w:t xml:space="preserve"> </w:t>
      </w:r>
      <w:r w:rsidRPr="00683075">
        <w:t>zvýšila</w:t>
      </w:r>
      <w:r w:rsidR="003E557A">
        <w:t xml:space="preserve"> v </w:t>
      </w:r>
      <w:r w:rsidRPr="00683075">
        <w:t>dôsledku ziskov</w:t>
      </w:r>
      <w:r w:rsidR="003E557A">
        <w:t xml:space="preserve"> z </w:t>
      </w:r>
      <w:r w:rsidRPr="00683075">
        <w:t>precenenia cenných</w:t>
      </w:r>
      <w:r w:rsidR="00BF0E04" w:rsidRPr="00683075">
        <w:t xml:space="preserve"> </w:t>
      </w:r>
      <w:r w:rsidRPr="00683075">
        <w:t>papierov</w:t>
      </w:r>
      <w:r w:rsidR="003E557A">
        <w:t xml:space="preserve"> v </w:t>
      </w:r>
      <w:r w:rsidRPr="00683075">
        <w:t>portfóliu na predaj. Tieto zisky</w:t>
      </w:r>
      <w:r w:rsidR="003E557A">
        <w:t xml:space="preserve"> v </w:t>
      </w:r>
      <w:r w:rsidRPr="00683075">
        <w:t>dôsledku</w:t>
      </w:r>
      <w:r w:rsidR="00BF0E04" w:rsidRPr="00683075">
        <w:t xml:space="preserve"> </w:t>
      </w:r>
      <w:r w:rsidRPr="00683075">
        <w:t>klesajúcich úrokových sadzieb však slúžia</w:t>
      </w:r>
      <w:r w:rsidR="00BF0E04" w:rsidRPr="00683075">
        <w:t xml:space="preserve"> </w:t>
      </w:r>
      <w:r w:rsidRPr="00683075">
        <w:t>ako vankúš</w:t>
      </w:r>
      <w:r w:rsidR="003E557A">
        <w:t xml:space="preserve"> v </w:t>
      </w:r>
      <w:r w:rsidRPr="00683075">
        <w:t>prípade nárastu úrokových sadzieb.</w:t>
      </w:r>
      <w:r w:rsidR="00BF0E04" w:rsidRPr="00683075">
        <w:t xml:space="preserve"> </w:t>
      </w:r>
      <w:r w:rsidRPr="00683075">
        <w:t>Poisťovne by</w:t>
      </w:r>
      <w:r w:rsidR="003E557A">
        <w:t xml:space="preserve"> v </w:t>
      </w:r>
      <w:r w:rsidRPr="00683075">
        <w:t>budúcnosti mali vytvárať rezervy</w:t>
      </w:r>
      <w:r w:rsidR="00BF0E04" w:rsidRPr="00683075">
        <w:t xml:space="preserve"> </w:t>
      </w:r>
      <w:r w:rsidRPr="00683075">
        <w:t>na straty</w:t>
      </w:r>
      <w:r w:rsidR="003E557A">
        <w:t xml:space="preserve"> z </w:t>
      </w:r>
      <w:r w:rsidRPr="00683075">
        <w:t>precenenia</w:t>
      </w:r>
      <w:r w:rsidR="003E557A">
        <w:t xml:space="preserve"> v </w:t>
      </w:r>
      <w:r w:rsidRPr="00683075">
        <w:t>dôsledku rastu úrokových</w:t>
      </w:r>
      <w:r w:rsidR="00BF0E04" w:rsidRPr="00683075">
        <w:t xml:space="preserve"> </w:t>
      </w:r>
      <w:r w:rsidRPr="00683075">
        <w:t>sadzieb pre tie dlhopisy, ktoré</w:t>
      </w:r>
      <w:r w:rsidR="003E557A">
        <w:t xml:space="preserve"> v </w:t>
      </w:r>
      <w:r w:rsidRPr="00683075">
        <w:t>súčasnosti</w:t>
      </w:r>
      <w:r w:rsidR="00BF0E04" w:rsidRPr="00683075">
        <w:t xml:space="preserve"> </w:t>
      </w:r>
      <w:r w:rsidRPr="00683075">
        <w:t>nakúpia do svojho portfólia.</w:t>
      </w:r>
    </w:p>
    <w:p w:rsidR="00EC7744" w:rsidRPr="00683075" w:rsidRDefault="00820B6E" w:rsidP="00683075">
      <w:r w:rsidRPr="00683075">
        <w:t>V životnom poistení pokračuje rast technického</w:t>
      </w:r>
      <w:r w:rsidR="00BF0E04" w:rsidRPr="00683075">
        <w:t xml:space="preserve"> </w:t>
      </w:r>
      <w:r w:rsidRPr="00683075">
        <w:t>poistného, zmenila sa však štruktúra medzi</w:t>
      </w:r>
      <w:r w:rsidR="00BF0E04" w:rsidRPr="00683075">
        <w:t xml:space="preserve"> </w:t>
      </w:r>
      <w:r w:rsidRPr="00683075">
        <w:t>jednotlivými odvetviami. Rast zaznamenalo</w:t>
      </w:r>
      <w:r w:rsidR="00BF0E04" w:rsidRPr="00683075">
        <w:t xml:space="preserve"> </w:t>
      </w:r>
      <w:r w:rsidRPr="00683075">
        <w:t xml:space="preserve">klasické životné poistenie, kým </w:t>
      </w:r>
      <w:proofErr w:type="spellStart"/>
      <w:r w:rsidRPr="00683075">
        <w:t>unit-linked</w:t>
      </w:r>
      <w:proofErr w:type="spellEnd"/>
      <w:r w:rsidRPr="00683075">
        <w:t xml:space="preserve"> poistenie</w:t>
      </w:r>
      <w:r w:rsidR="00BF0E04" w:rsidRPr="00683075">
        <w:t xml:space="preserve"> </w:t>
      </w:r>
      <w:r w:rsidRPr="00683075">
        <w:t>zaznamenalo pokles technického poistného,</w:t>
      </w:r>
      <w:r w:rsidR="00BF0E04" w:rsidRPr="00683075">
        <w:t xml:space="preserve"> </w:t>
      </w:r>
      <w:r w:rsidRPr="00683075">
        <w:t>prvý od roku 2009. Objem</w:t>
      </w:r>
      <w:r w:rsidR="003E557A">
        <w:t xml:space="preserve"> a </w:t>
      </w:r>
      <w:r w:rsidRPr="00683075">
        <w:t>frekvencia</w:t>
      </w:r>
      <w:r w:rsidR="00BF0E04" w:rsidRPr="00683075">
        <w:t xml:space="preserve"> </w:t>
      </w:r>
      <w:proofErr w:type="spellStart"/>
      <w:r w:rsidRPr="00683075">
        <w:t>odkupov</w:t>
      </w:r>
      <w:proofErr w:type="spellEnd"/>
      <w:r w:rsidRPr="00683075">
        <w:t xml:space="preserve"> pokračujú</w:t>
      </w:r>
      <w:r w:rsidR="003E557A">
        <w:t xml:space="preserve"> v </w:t>
      </w:r>
      <w:r w:rsidRPr="00683075">
        <w:t>raste, ale tempo rastu</w:t>
      </w:r>
      <w:r w:rsidR="00BF0E04" w:rsidRPr="00683075">
        <w:t xml:space="preserve"> </w:t>
      </w:r>
      <w:r w:rsidRPr="00683075">
        <w:t>spomaľuje.</w:t>
      </w:r>
    </w:p>
    <w:p w:rsidR="00EC7744" w:rsidRPr="00683075" w:rsidRDefault="00820B6E" w:rsidP="00683075">
      <w:r w:rsidRPr="00683075">
        <w:t>V neživotnom poistení pokračujú negatívne trendy</w:t>
      </w:r>
      <w:r w:rsidR="003E557A">
        <w:t xml:space="preserve"> </w:t>
      </w:r>
      <w:r w:rsidR="003E557A">
        <w:lastRenderedPageBreak/>
        <w:t>v </w:t>
      </w:r>
      <w:r w:rsidRPr="00683075">
        <w:t>poistení áut. Tieto trendy sú spojené najmä</w:t>
      </w:r>
      <w:r w:rsidR="003E557A">
        <w:t xml:space="preserve"> s </w:t>
      </w:r>
      <w:r w:rsidRPr="00683075">
        <w:t>poklesom poistného</w:t>
      </w:r>
      <w:r w:rsidR="003E557A">
        <w:t xml:space="preserve"> v </w:t>
      </w:r>
      <w:r w:rsidRPr="00683075">
        <w:t>povinnom zmluvnom</w:t>
      </w:r>
      <w:r w:rsidR="00BF0E04" w:rsidRPr="00683075">
        <w:t xml:space="preserve"> </w:t>
      </w:r>
      <w:r w:rsidRPr="00683075">
        <w:t>poistení aj</w:t>
      </w:r>
      <w:r w:rsidR="003E557A">
        <w:t xml:space="preserve"> v </w:t>
      </w:r>
      <w:r w:rsidRPr="00683075">
        <w:t>havarijnom poistení. Vývoj</w:t>
      </w:r>
      <w:r w:rsidR="003E557A">
        <w:t xml:space="preserve"> v </w:t>
      </w:r>
      <w:r w:rsidRPr="00683075">
        <w:t>tomto</w:t>
      </w:r>
      <w:r w:rsidR="00BF0E04" w:rsidRPr="00683075">
        <w:t xml:space="preserve"> </w:t>
      </w:r>
      <w:r w:rsidRPr="00683075">
        <w:t>segmente navyše smeruje ku stavu, ktorý nie je</w:t>
      </w:r>
      <w:r w:rsidR="00BF0E04" w:rsidRPr="00683075">
        <w:t xml:space="preserve"> </w:t>
      </w:r>
      <w:r w:rsidRPr="00683075">
        <w:t>dlhodobo udržateľný. To sa prejavuje aj na tom,</w:t>
      </w:r>
      <w:r w:rsidR="00BF0E04" w:rsidRPr="00683075">
        <w:t xml:space="preserve"> </w:t>
      </w:r>
      <w:r w:rsidRPr="00683075">
        <w:t>že segment havarijného poistenia bol počas</w:t>
      </w:r>
      <w:r w:rsidR="00BF0E04" w:rsidRPr="00683075">
        <w:t xml:space="preserve"> </w:t>
      </w:r>
      <w:r w:rsidRPr="00683075">
        <w:t>prvého polroka 2013 stratový. Vo väčšine ostatných</w:t>
      </w:r>
      <w:r w:rsidR="00BF0E04" w:rsidRPr="00683075">
        <w:t xml:space="preserve"> </w:t>
      </w:r>
      <w:r w:rsidRPr="00683075">
        <w:t>poistných odvetví technické poistné rástlo,</w:t>
      </w:r>
      <w:r w:rsidR="00BF0E04" w:rsidRPr="00683075">
        <w:t xml:space="preserve"> </w:t>
      </w:r>
      <w:r w:rsidRPr="00683075">
        <w:t xml:space="preserve">pričom rástla mierne aj </w:t>
      </w:r>
      <w:proofErr w:type="spellStart"/>
      <w:r w:rsidRPr="00683075">
        <w:t>škodovosť</w:t>
      </w:r>
      <w:proofErr w:type="spellEnd"/>
      <w:r w:rsidRPr="00683075">
        <w:t>.</w:t>
      </w:r>
    </w:p>
    <w:p w:rsidR="00EC7744" w:rsidRPr="00683075" w:rsidRDefault="00820B6E" w:rsidP="00D77337">
      <w:pPr>
        <w:pStyle w:val="zvyraznene"/>
      </w:pPr>
      <w:r w:rsidRPr="00683075">
        <w:t>Vývoj</w:t>
      </w:r>
      <w:r w:rsidR="003E557A">
        <w:t xml:space="preserve"> v </w:t>
      </w:r>
      <w:r w:rsidRPr="00683075">
        <w:t>druhom pilieri dôchodkového sporenia</w:t>
      </w:r>
      <w:r w:rsidR="00BF0E04" w:rsidRPr="00683075">
        <w:t xml:space="preserve"> </w:t>
      </w:r>
      <w:r w:rsidRPr="00683075">
        <w:t>ovplyvnený najmä legislatívnymi zmenami</w:t>
      </w:r>
    </w:p>
    <w:p w:rsidR="00820B6E" w:rsidRPr="00683075" w:rsidRDefault="00820B6E" w:rsidP="00683075">
      <w:r w:rsidRPr="00683075">
        <w:t>V druhom pilieri dôchodkového sporenia došlo</w:t>
      </w:r>
      <w:r w:rsidR="003E557A">
        <w:t xml:space="preserve"> v </w:t>
      </w:r>
      <w:r w:rsidRPr="00683075">
        <w:t>priebehu prvého polroka 2013</w:t>
      </w:r>
      <w:r w:rsidR="003E557A">
        <w:t xml:space="preserve"> k </w:t>
      </w:r>
      <w:r w:rsidRPr="00683075">
        <w:t>zníženiu počtu</w:t>
      </w:r>
      <w:r w:rsidR="00BF0E04" w:rsidRPr="00683075">
        <w:t xml:space="preserve"> </w:t>
      </w:r>
      <w:r w:rsidRPr="00683075">
        <w:t>sporiteľov o niečo viac ako 30 tisíc, čo odráža</w:t>
      </w:r>
      <w:r w:rsidR="00BF0E04" w:rsidRPr="00683075">
        <w:t xml:space="preserve"> </w:t>
      </w:r>
      <w:r w:rsidRPr="00683075">
        <w:t>predovšetkým negatívnu bilanciu vstupov</w:t>
      </w:r>
      <w:r w:rsidR="003E557A">
        <w:t xml:space="preserve"> a </w:t>
      </w:r>
      <w:r w:rsidRPr="00683075">
        <w:t>výstupov</w:t>
      </w:r>
      <w:r w:rsidR="003E557A">
        <w:t xml:space="preserve"> v </w:t>
      </w:r>
      <w:r w:rsidRPr="00683075">
        <w:t>rámci otvorenia systému. Kľúčovou</w:t>
      </w:r>
      <w:r w:rsidR="00BF0E04" w:rsidRPr="00683075">
        <w:t xml:space="preserve"> </w:t>
      </w:r>
      <w:r w:rsidRPr="00683075">
        <w:t>udalosťou sledovaného obdobia</w:t>
      </w:r>
      <w:r w:rsidR="003E557A">
        <w:t xml:space="preserve"> v </w:t>
      </w:r>
      <w:r w:rsidRPr="00683075">
        <w:t>systéme starobného</w:t>
      </w:r>
      <w:r w:rsidR="00BF0E04" w:rsidRPr="00683075">
        <w:t xml:space="preserve"> </w:t>
      </w:r>
      <w:r w:rsidRPr="00683075">
        <w:t>dôchodkového sporenia bolo výrazné</w:t>
      </w:r>
      <w:r w:rsidR="00BF0E04" w:rsidRPr="00683075">
        <w:t xml:space="preserve"> </w:t>
      </w:r>
      <w:r w:rsidRPr="00683075">
        <w:t>preskupenie sporiteľov</w:t>
      </w:r>
      <w:r w:rsidR="003E557A">
        <w:t xml:space="preserve"> a </w:t>
      </w:r>
      <w:r w:rsidRPr="00683075">
        <w:t>tiež majetku medzi</w:t>
      </w:r>
      <w:r w:rsidR="00BF0E04" w:rsidRPr="00683075">
        <w:t xml:space="preserve"> </w:t>
      </w:r>
      <w:r w:rsidRPr="00683075">
        <w:t>jednotlivými typmi dôchodkových fondov, ktoré</w:t>
      </w:r>
      <w:r w:rsidR="00BF0E04" w:rsidRPr="00683075">
        <w:t xml:space="preserve"> </w:t>
      </w:r>
      <w:r w:rsidRPr="00683075">
        <w:t>súviselo</w:t>
      </w:r>
      <w:r w:rsidR="003E557A">
        <w:t xml:space="preserve"> s </w:t>
      </w:r>
      <w:r w:rsidRPr="00683075">
        <w:t>legislatívnou úpravou</w:t>
      </w:r>
      <w:r w:rsidR="003E557A">
        <w:t xml:space="preserve"> v </w:t>
      </w:r>
      <w:r w:rsidRPr="00683075">
        <w:t>oblasti nastavenia</w:t>
      </w:r>
      <w:r w:rsidR="00BF0E04" w:rsidRPr="00683075">
        <w:t xml:space="preserve"> </w:t>
      </w:r>
      <w:r w:rsidRPr="00683075">
        <w:t>garancií. Viac ako 90</w:t>
      </w:r>
      <w:r w:rsidR="003E557A">
        <w:t xml:space="preserve"> % </w:t>
      </w:r>
      <w:r w:rsidRPr="00683075">
        <w:t>sporiteľov sa tak od</w:t>
      </w:r>
      <w:r w:rsidR="00BF0E04" w:rsidRPr="00683075">
        <w:t xml:space="preserve"> </w:t>
      </w:r>
      <w:r w:rsidRPr="00683075">
        <w:t>začiatku mája nachádzalo</w:t>
      </w:r>
      <w:r w:rsidR="003E557A">
        <w:t xml:space="preserve"> v </w:t>
      </w:r>
      <w:r w:rsidRPr="00683075">
        <w:t>dlhopisových dôchodkových</w:t>
      </w:r>
      <w:r w:rsidR="00BF0E04" w:rsidRPr="00683075">
        <w:t xml:space="preserve"> </w:t>
      </w:r>
      <w:r w:rsidRPr="00683075">
        <w:t>fondoch, ktoré ako jediné zostali zo</w:t>
      </w:r>
      <w:r w:rsidR="00BF0E04" w:rsidRPr="00683075">
        <w:t xml:space="preserve"> </w:t>
      </w:r>
      <w:r w:rsidRPr="00683075">
        <w:t>zákona povinne garantované. Väčšina dôchodkových</w:t>
      </w:r>
      <w:r w:rsidR="00BF0E04" w:rsidRPr="00683075">
        <w:t xml:space="preserve"> </w:t>
      </w:r>
      <w:r w:rsidRPr="00683075">
        <w:t>správcovských spoločností zároveň pristúpila</w:t>
      </w:r>
      <w:r w:rsidR="003E557A">
        <w:t xml:space="preserve"> k </w:t>
      </w:r>
      <w:r w:rsidRPr="00683075">
        <w:t>zmene nastavenia investičnej stratégie.</w:t>
      </w:r>
      <w:r w:rsidR="00BF0E04" w:rsidRPr="00683075">
        <w:t xml:space="preserve"> </w:t>
      </w:r>
      <w:r w:rsidRPr="00683075">
        <w:t>Zmiešané</w:t>
      </w:r>
      <w:r w:rsidR="003E557A">
        <w:t xml:space="preserve"> a </w:t>
      </w:r>
      <w:r w:rsidRPr="00683075">
        <w:t>akciové negarantované fondy sa po</w:t>
      </w:r>
      <w:r w:rsidR="00BF0E04" w:rsidRPr="00683075">
        <w:t xml:space="preserve"> </w:t>
      </w:r>
      <w:r w:rsidRPr="00683075">
        <w:t>dlhšom období vyprofilovali na odlišný výnosovo-rizikový stupeň tým, že boli do ich portfólia</w:t>
      </w:r>
      <w:r w:rsidR="00BF0E04" w:rsidRPr="00683075">
        <w:t xml:space="preserve"> </w:t>
      </w:r>
      <w:r w:rsidRPr="00683075">
        <w:t>zaradené akciové investície</w:t>
      </w:r>
      <w:r w:rsidR="003E557A">
        <w:t xml:space="preserve"> v </w:t>
      </w:r>
      <w:r w:rsidRPr="00683075">
        <w:t>nezanedbateľnom</w:t>
      </w:r>
      <w:r w:rsidR="00BF0E04" w:rsidRPr="00683075">
        <w:t xml:space="preserve"> </w:t>
      </w:r>
      <w:r w:rsidRPr="00683075">
        <w:t>zastúpení, čím sa opätovne zaviedla diferenciácia</w:t>
      </w:r>
      <w:r w:rsidR="00BF0E04" w:rsidRPr="00683075">
        <w:t xml:space="preserve"> </w:t>
      </w:r>
      <w:r w:rsidRPr="00683075">
        <w:t>štruktúry aktív</w:t>
      </w:r>
      <w:r w:rsidR="003E557A">
        <w:t xml:space="preserve"> v </w:t>
      </w:r>
      <w:r w:rsidRPr="00683075">
        <w:t>jednotlivých typoch fondov.</w:t>
      </w:r>
      <w:r w:rsidR="00BF0E04" w:rsidRPr="00683075">
        <w:t xml:space="preserve"> </w:t>
      </w:r>
      <w:r w:rsidRPr="00683075">
        <w:t xml:space="preserve">Okrem toho sa výrazne zvýšila aj </w:t>
      </w:r>
      <w:proofErr w:type="spellStart"/>
      <w:r w:rsidRPr="00683075">
        <w:t>durácia</w:t>
      </w:r>
      <w:proofErr w:type="spellEnd"/>
      <w:r w:rsidRPr="00683075">
        <w:t xml:space="preserve"> portfólií</w:t>
      </w:r>
      <w:r w:rsidR="00BF0E04" w:rsidRPr="00683075">
        <w:t xml:space="preserve"> </w:t>
      </w:r>
      <w:r w:rsidRPr="00683075">
        <w:t>dôchodkových fondov. Toto zvýšenie zaznamenali</w:t>
      </w:r>
      <w:r w:rsidR="00BF0E04" w:rsidRPr="00683075">
        <w:t xml:space="preserve"> </w:t>
      </w:r>
      <w:r w:rsidRPr="00683075">
        <w:t>vďaka predĺženiu horizontu na dopĺňanie</w:t>
      </w:r>
      <w:r w:rsidR="00BF0E04" w:rsidRPr="00683075">
        <w:t xml:space="preserve"> </w:t>
      </w:r>
      <w:r w:rsidRPr="00683075">
        <w:t>majetku aj garantované dlhopisové fondy.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V doplnkovom dôchodkovom sporení sa účastnícka</w:t>
      </w:r>
      <w:r w:rsidR="00BF0E04" w:rsidRPr="00683075">
        <w:t xml:space="preserve"> </w:t>
      </w:r>
      <w:r w:rsidRPr="00683075">
        <w:t>základňa zmenšila o necelých 10 tisíc. Tak</w:t>
      </w:r>
      <w:r w:rsidR="00BF0E04" w:rsidRPr="00683075">
        <w:t xml:space="preserve"> </w:t>
      </w:r>
      <w:r w:rsidRPr="00683075">
        <w:t>ako</w:t>
      </w:r>
      <w:r w:rsidR="003E557A">
        <w:t xml:space="preserve"> v </w:t>
      </w:r>
      <w:r w:rsidRPr="00683075">
        <w:t>minulých rokoch rástol záujem o sporenie</w:t>
      </w:r>
      <w:r w:rsidR="00BF0E04" w:rsidRPr="00683075">
        <w:t xml:space="preserve"> </w:t>
      </w:r>
      <w:r w:rsidRPr="00683075">
        <w:t>prostredníctvom niektorého</w:t>
      </w:r>
      <w:r w:rsidR="003E557A">
        <w:t xml:space="preserve"> z </w:t>
      </w:r>
      <w:r w:rsidRPr="00683075">
        <w:t>menších príspevkových</w:t>
      </w:r>
      <w:r w:rsidR="00BF0E04" w:rsidRPr="00683075">
        <w:t xml:space="preserve"> </w:t>
      </w:r>
      <w:r w:rsidRPr="00683075">
        <w:t>doplnkových dôchodkových fondov so</w:t>
      </w:r>
      <w:r w:rsidR="00BF0E04" w:rsidRPr="00683075">
        <w:t xml:space="preserve"> </w:t>
      </w:r>
      <w:r w:rsidRPr="00683075">
        <w:t>špecializovanou stratégiou.</w:t>
      </w:r>
      <w:r w:rsidR="003E557A">
        <w:t xml:space="preserve"> v </w:t>
      </w:r>
      <w:r w:rsidRPr="00683075">
        <w:t>oboch pilieroch</w:t>
      </w:r>
      <w:r w:rsidR="00BF0E04" w:rsidRPr="00683075">
        <w:t xml:space="preserve"> </w:t>
      </w:r>
      <w:r w:rsidRPr="00683075">
        <w:t>dôchodkového sporenia sa priemerná medziročná</w:t>
      </w:r>
      <w:r w:rsidR="00BF0E04" w:rsidRPr="00683075">
        <w:t xml:space="preserve"> </w:t>
      </w:r>
      <w:r w:rsidRPr="00683075">
        <w:t>výkonnosť na konci sledovaného obdobia nachádzala</w:t>
      </w:r>
      <w:r w:rsidR="003E557A">
        <w:t xml:space="preserve"> v </w:t>
      </w:r>
      <w:r w:rsidRPr="00683075">
        <w:t>kladnom pásme, avšak toto nominálne</w:t>
      </w:r>
      <w:r w:rsidR="00BF0E04" w:rsidRPr="00683075">
        <w:t xml:space="preserve"> </w:t>
      </w:r>
      <w:r w:rsidRPr="00683075">
        <w:t>zhodnotenie je najmä dôsledkom rastu cien</w:t>
      </w:r>
      <w:r w:rsidR="00BF0E04" w:rsidRPr="00683075">
        <w:t xml:space="preserve"> </w:t>
      </w:r>
      <w:r w:rsidRPr="00683075">
        <w:t>aktív ešte</w:t>
      </w:r>
      <w:r w:rsidR="003E557A">
        <w:t xml:space="preserve"> v </w:t>
      </w:r>
      <w:r w:rsidRPr="00683075">
        <w:t>druhej polovici roka 2012.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Pokračujúci nárast spravovaných aktív špeciálnych</w:t>
      </w:r>
      <w:r w:rsidR="00BF0E04" w:rsidRPr="00683075">
        <w:t xml:space="preserve"> </w:t>
      </w:r>
      <w:r w:rsidRPr="00683075">
        <w:t>podielových fondov</w:t>
      </w:r>
    </w:p>
    <w:p w:rsidR="00E34A4E" w:rsidRPr="00683075" w:rsidRDefault="00820B6E" w:rsidP="00683075">
      <w:r w:rsidRPr="00683075">
        <w:t>Rast sektora kolektívneho investovania pokračoval</w:t>
      </w:r>
      <w:r w:rsidR="003E557A">
        <w:t xml:space="preserve"> v </w:t>
      </w:r>
      <w:r w:rsidRPr="00683075">
        <w:t>sledovanom období</w:t>
      </w:r>
      <w:r w:rsidR="003E557A">
        <w:t xml:space="preserve"> v </w:t>
      </w:r>
      <w:r w:rsidRPr="00683075">
        <w:t>podobnom rozsahu</w:t>
      </w:r>
      <w:r w:rsidR="00BF0E04" w:rsidRPr="00683075">
        <w:t xml:space="preserve"> </w:t>
      </w:r>
      <w:r w:rsidRPr="00683075">
        <w:t>ako počas roka 2012. Prakticky celý prírastok</w:t>
      </w:r>
      <w:r w:rsidR="00BF0E04" w:rsidRPr="00683075">
        <w:t xml:space="preserve"> </w:t>
      </w:r>
      <w:r w:rsidRPr="00683075">
        <w:t>spravovaných aktív pritom zabezpečili špeciálne</w:t>
      </w:r>
      <w:r w:rsidR="00BF0E04" w:rsidRPr="00683075">
        <w:t xml:space="preserve"> </w:t>
      </w:r>
      <w:r w:rsidRPr="00683075">
        <w:t>podielové fondy,</w:t>
      </w:r>
      <w:r w:rsidR="003E557A">
        <w:t xml:space="preserve"> a </w:t>
      </w:r>
      <w:r w:rsidRPr="00683075">
        <w:t>to najmä špeciálne podielové</w:t>
      </w:r>
      <w:r w:rsidR="00BF0E04" w:rsidRPr="00683075">
        <w:t xml:space="preserve"> </w:t>
      </w:r>
      <w:r w:rsidRPr="00683075">
        <w:t>fondy profesionálnych investorov. Naďalej sa</w:t>
      </w:r>
      <w:r w:rsidR="00BF0E04" w:rsidRPr="00683075">
        <w:t xml:space="preserve"> </w:t>
      </w:r>
      <w:r w:rsidRPr="00683075">
        <w:t>však dobre predávali aj podielové listy</w:t>
      </w:r>
      <w:r w:rsidR="00EC7744" w:rsidRPr="00683075">
        <w:t xml:space="preserve"> </w:t>
      </w:r>
      <w:r w:rsidRPr="00683075">
        <w:t>špeciálnych</w:t>
      </w:r>
      <w:r w:rsidR="00BF0E04" w:rsidRPr="00683075">
        <w:t xml:space="preserve"> </w:t>
      </w:r>
      <w:r w:rsidRPr="00683075">
        <w:t>fondov nehnuteľností</w:t>
      </w:r>
      <w:r w:rsidR="003E557A">
        <w:t xml:space="preserve"> a </w:t>
      </w:r>
      <w:r w:rsidRPr="00683075">
        <w:t>špeciálnych podielových</w:t>
      </w:r>
      <w:r w:rsidR="00BF0E04" w:rsidRPr="00683075">
        <w:t xml:space="preserve"> </w:t>
      </w:r>
      <w:r w:rsidRPr="00683075">
        <w:t>fondov cenných papierov. Na druhej</w:t>
      </w:r>
      <w:r w:rsidR="00BF0E04" w:rsidRPr="00683075">
        <w:t xml:space="preserve"> </w:t>
      </w:r>
      <w:r w:rsidRPr="00683075">
        <w:t>strane, čisté predaje štandardných podielových</w:t>
      </w:r>
      <w:r w:rsidR="00BF0E04" w:rsidRPr="00683075">
        <w:t xml:space="preserve"> </w:t>
      </w:r>
      <w:r w:rsidRPr="00683075">
        <w:t>fondov stagnovali.</w:t>
      </w:r>
      <w:r w:rsidR="003E557A">
        <w:t xml:space="preserve"> v </w:t>
      </w:r>
      <w:r w:rsidRPr="00683075">
        <w:t>rámci toho podielové fondy</w:t>
      </w:r>
      <w:r w:rsidR="00BF0E04" w:rsidRPr="00683075">
        <w:t xml:space="preserve"> </w:t>
      </w:r>
      <w:r w:rsidRPr="00683075">
        <w:t>peňažného zamerania pokračovali</w:t>
      </w:r>
      <w:r w:rsidR="003E557A">
        <w:t xml:space="preserve"> v </w:t>
      </w:r>
      <w:r w:rsidRPr="00683075">
        <w:t>dlhodobejšom</w:t>
      </w:r>
      <w:r w:rsidR="00BF0E04" w:rsidRPr="00683075">
        <w:t xml:space="preserve"> </w:t>
      </w:r>
      <w:r w:rsidRPr="00683075">
        <w:t xml:space="preserve">trende </w:t>
      </w:r>
      <w:proofErr w:type="spellStart"/>
      <w:r w:rsidRPr="00683075">
        <w:t>redemácií</w:t>
      </w:r>
      <w:proofErr w:type="spellEnd"/>
      <w:r w:rsidRPr="00683075">
        <w:t>.</w:t>
      </w:r>
      <w:r w:rsidR="003E557A">
        <w:t xml:space="preserve"> s </w:t>
      </w:r>
      <w:r w:rsidRPr="00683075">
        <w:t>výnimkou špeciálnych</w:t>
      </w:r>
      <w:r w:rsidR="00BF0E04" w:rsidRPr="00683075">
        <w:t xml:space="preserve"> </w:t>
      </w:r>
      <w:r w:rsidRPr="00683075">
        <w:t>podielových fondov alternatívnych investícií</w:t>
      </w:r>
      <w:r w:rsidR="00BF0E04" w:rsidRPr="00683075">
        <w:t xml:space="preserve"> </w:t>
      </w:r>
      <w:r w:rsidRPr="00683075">
        <w:t xml:space="preserve">zabezpečili všetky ostatné </w:t>
      </w:r>
      <w:r w:rsidRPr="00683075">
        <w:lastRenderedPageBreak/>
        <w:t>kategórie</w:t>
      </w:r>
      <w:r w:rsidR="003E557A">
        <w:t xml:space="preserve"> k </w:t>
      </w:r>
      <w:r w:rsidRPr="00683075">
        <w:t>30. júnu</w:t>
      </w:r>
      <w:r w:rsidR="00BF0E04" w:rsidRPr="00683075">
        <w:t xml:space="preserve"> </w:t>
      </w:r>
      <w:r w:rsidRPr="00683075">
        <w:t>2013 kladné nominálne zhodnotenie investícií,</w:t>
      </w:r>
      <w:r w:rsidR="00BF0E04" w:rsidRPr="00683075">
        <w:t xml:space="preserve"> </w:t>
      </w:r>
      <w:r w:rsidRPr="00683075">
        <w:t>ale</w:t>
      </w:r>
      <w:r w:rsidR="003E557A">
        <w:t xml:space="preserve"> v </w:t>
      </w:r>
      <w:r w:rsidRPr="00683075">
        <w:t>menšej výške, ako tomu bolo ku koncu roka</w:t>
      </w:r>
      <w:r w:rsidR="00BF0E04" w:rsidRPr="00683075">
        <w:t xml:space="preserve"> </w:t>
      </w:r>
      <w:r w:rsidRPr="00683075">
        <w:t>2012.</w:t>
      </w:r>
      <w:r w:rsidR="00BF0E04" w:rsidRPr="00683075">
        <w:t xml:space="preserve"> </w:t>
      </w:r>
    </w:p>
    <w:p w:rsidR="00EC7744" w:rsidRPr="00683075" w:rsidRDefault="00820B6E" w:rsidP="0002424C">
      <w:pPr>
        <w:pStyle w:val="Nadpis1"/>
      </w:pPr>
      <w:bookmarkStart w:id="3" w:name="_Toc376206538"/>
      <w:r w:rsidRPr="00683075">
        <w:lastRenderedPageBreak/>
        <w:t>Makroekonomický vývoj</w:t>
      </w:r>
      <w:r w:rsidR="003E557A">
        <w:t xml:space="preserve"> z </w:t>
      </w:r>
      <w:r w:rsidRPr="00683075">
        <w:t>pohľadu stability</w:t>
      </w:r>
      <w:r w:rsidR="00BF0E04" w:rsidRPr="00683075">
        <w:t xml:space="preserve"> </w:t>
      </w:r>
      <w:r w:rsidRPr="00683075">
        <w:t>finančného sektora</w:t>
      </w:r>
      <w:bookmarkEnd w:id="3"/>
    </w:p>
    <w:p w:rsidR="00EC7744" w:rsidRPr="00683075" w:rsidRDefault="00820B6E" w:rsidP="00D77337">
      <w:pPr>
        <w:pStyle w:val="zvyraznene"/>
      </w:pPr>
      <w:r w:rsidRPr="00683075">
        <w:t>Dynamika globálneho hospodárstva by mala byť</w:t>
      </w:r>
      <w:r w:rsidR="003E557A">
        <w:t xml:space="preserve"> v </w:t>
      </w:r>
      <w:r w:rsidRPr="00683075">
        <w:t>roku 2013 podobná ako</w:t>
      </w:r>
      <w:r w:rsidR="003E557A">
        <w:t xml:space="preserve"> v </w:t>
      </w:r>
      <w:r w:rsidRPr="00683075">
        <w:t>predošlom roku</w:t>
      </w:r>
    </w:p>
    <w:p w:rsidR="00EC7744" w:rsidRPr="00683075" w:rsidRDefault="00820B6E" w:rsidP="00683075">
      <w:r w:rsidRPr="00683075">
        <w:t>Podľa najnovšej makroekonomickej prognózy</w:t>
      </w:r>
      <w:r w:rsidR="00BF0E04" w:rsidRPr="00683075">
        <w:t xml:space="preserve"> </w:t>
      </w:r>
      <w:r w:rsidRPr="00683075">
        <w:t>Medzinárodného menového fondu (MMF), ktorá</w:t>
      </w:r>
      <w:r w:rsidR="003E557A">
        <w:t xml:space="preserve"> v </w:t>
      </w:r>
      <w:r w:rsidRPr="00683075">
        <w:t>sebe zahŕňa informácie o vývoji</w:t>
      </w:r>
      <w:r w:rsidR="003E557A">
        <w:t xml:space="preserve"> v </w:t>
      </w:r>
      <w:r w:rsidRPr="00683075">
        <w:t>prvom polroku,</w:t>
      </w:r>
      <w:r w:rsidR="00BF0E04" w:rsidRPr="00683075">
        <w:t xml:space="preserve"> </w:t>
      </w:r>
      <w:r w:rsidRPr="00683075">
        <w:t>by mal globálny ekonomický rast</w:t>
      </w:r>
      <w:r w:rsidR="003E557A">
        <w:t xml:space="preserve"> v </w:t>
      </w:r>
      <w:r w:rsidRPr="00683075">
        <w:t>roku</w:t>
      </w:r>
      <w:r w:rsidR="00BF0E04" w:rsidRPr="00683075">
        <w:t xml:space="preserve"> </w:t>
      </w:r>
      <w:r w:rsidRPr="00683075">
        <w:t>2013 zotrvať na rovnakej úrovni ako</w:t>
      </w:r>
      <w:r w:rsidR="003E557A">
        <w:t xml:space="preserve"> v </w:t>
      </w:r>
      <w:r w:rsidRPr="00683075">
        <w:t>predošlom</w:t>
      </w:r>
      <w:r w:rsidR="00BF0E04" w:rsidRPr="00683075">
        <w:t xml:space="preserve"> </w:t>
      </w:r>
      <w:r w:rsidRPr="00683075">
        <w:t>roku, teda 3,1 %. Mierne nižšie tempo rastu oproti</w:t>
      </w:r>
      <w:r w:rsidR="00BF0E04" w:rsidRPr="00683075">
        <w:t xml:space="preserve"> </w:t>
      </w:r>
      <w:r w:rsidRPr="00683075">
        <w:t>predošlej prognóze odráža určité spomalenie</w:t>
      </w:r>
      <w:r w:rsidR="003E557A">
        <w:t xml:space="preserve"> v </w:t>
      </w:r>
      <w:r w:rsidRPr="00683075">
        <w:t>rozvíjajúcich sa ekonomikách, hoci tieto naďalej</w:t>
      </w:r>
      <w:r w:rsidR="00BF0E04" w:rsidRPr="00683075">
        <w:t xml:space="preserve"> </w:t>
      </w:r>
      <w:r w:rsidRPr="00683075">
        <w:t>zabezpečujú väčšiu časť dynamiky svetového</w:t>
      </w:r>
      <w:r w:rsidR="00BF0E04" w:rsidRPr="00683075">
        <w:t xml:space="preserve"> </w:t>
      </w:r>
      <w:r w:rsidRPr="00683075">
        <w:t>hospodárstva. Naopak, priemerná výkonnosť</w:t>
      </w:r>
      <w:r w:rsidR="00BF0E04" w:rsidRPr="00683075">
        <w:t xml:space="preserve"> </w:t>
      </w:r>
      <w:r w:rsidRPr="00683075">
        <w:t>rozvinutých ekonomík ostala naďalej nízka, ale</w:t>
      </w:r>
      <w:r w:rsidR="003E557A">
        <w:t xml:space="preserve"> v </w:t>
      </w:r>
      <w:r w:rsidRPr="00683075">
        <w:t>posledných mesiacoch sa aspoň objavili náznaky</w:t>
      </w:r>
      <w:r w:rsidR="00BF0E04" w:rsidRPr="00683075">
        <w:t xml:space="preserve"> </w:t>
      </w:r>
      <w:r w:rsidRPr="00683075">
        <w:t>mierneho zlepšenia,</w:t>
      </w:r>
      <w:r w:rsidR="003E557A">
        <w:t xml:space="preserve"> v </w:t>
      </w:r>
      <w:r w:rsidRPr="00683075">
        <w:t>niektorých prípadoch</w:t>
      </w:r>
      <w:r w:rsidR="00BF0E04" w:rsidRPr="00683075">
        <w:t xml:space="preserve"> </w:t>
      </w:r>
      <w:r w:rsidRPr="00683075">
        <w:t>dokonca nad pôvodné očakávania. Nič to</w:t>
      </w:r>
      <w:r w:rsidR="00BF0E04" w:rsidRPr="00683075">
        <w:t xml:space="preserve"> </w:t>
      </w:r>
      <w:r w:rsidRPr="00683075">
        <w:t>však nemení na tom, že riziká pre ďalší makroekonomický</w:t>
      </w:r>
      <w:r w:rsidR="00BF0E04" w:rsidRPr="00683075">
        <w:t xml:space="preserve"> </w:t>
      </w:r>
      <w:r w:rsidRPr="00683075">
        <w:t>vývoj sú stále vychýlené smerom nadol</w:t>
      </w:r>
      <w:r w:rsidR="003E557A">
        <w:t xml:space="preserve"> a </w:t>
      </w:r>
      <w:r w:rsidRPr="00683075">
        <w:t>potenciál pre ohrozenie finančnej stability</w:t>
      </w:r>
      <w:r w:rsidR="003E557A">
        <w:t xml:space="preserve"> z </w:t>
      </w:r>
      <w:r w:rsidRPr="00683075">
        <w:t>neho vyplývajúci ostáva výrazný.</w:t>
      </w:r>
    </w:p>
    <w:p w:rsidR="00EC7744" w:rsidRPr="00683075" w:rsidRDefault="00820B6E" w:rsidP="00D77337">
      <w:pPr>
        <w:pStyle w:val="zvyraznene"/>
      </w:pPr>
      <w:r w:rsidRPr="00683075">
        <w:t>Prvá polovica roka 2013 na finančných trhoch bez</w:t>
      </w:r>
      <w:r w:rsidR="00BF0E04" w:rsidRPr="00683075">
        <w:t xml:space="preserve"> </w:t>
      </w:r>
      <w:r w:rsidRPr="00683075">
        <w:t>výraznejších turbulencií</w:t>
      </w:r>
    </w:p>
    <w:p w:rsidR="00820B6E" w:rsidRPr="00683075" w:rsidRDefault="00820B6E" w:rsidP="00683075">
      <w:r w:rsidRPr="00683075">
        <w:t>Situácia na globálnych finančných trhoch bola</w:t>
      </w:r>
      <w:r w:rsidR="00BF0E04" w:rsidRPr="00683075">
        <w:t xml:space="preserve"> </w:t>
      </w:r>
      <w:r w:rsidRPr="00683075">
        <w:t>počas prvých ôsmych mesiacov roka 2013 relatívne</w:t>
      </w:r>
      <w:r w:rsidR="00BF0E04" w:rsidRPr="00683075">
        <w:t xml:space="preserve"> </w:t>
      </w:r>
      <w:r w:rsidRPr="00683075">
        <w:t>pokojná. Platilo to aj pre európske trhy, kde</w:t>
      </w:r>
      <w:r w:rsidR="00BF0E04" w:rsidRPr="00683075">
        <w:t xml:space="preserve"> </w:t>
      </w:r>
      <w:r w:rsidRPr="00683075">
        <w:t>sa do tretice už nezopakoval</w:t>
      </w:r>
      <w:r w:rsidR="003E557A">
        <w:t xml:space="preserve"> v </w:t>
      </w:r>
      <w:r w:rsidRPr="00683075">
        <w:t>letných mesiacoch</w:t>
      </w:r>
      <w:r w:rsidR="00BF0E04" w:rsidRPr="00683075">
        <w:t xml:space="preserve"> </w:t>
      </w:r>
      <w:r w:rsidRPr="00683075">
        <w:t>scenár eskalácie napätia</w:t>
      </w:r>
      <w:r w:rsidR="003E557A">
        <w:t xml:space="preserve"> a </w:t>
      </w:r>
      <w:r w:rsidRPr="00683075">
        <w:t>rizikovej averzie. Aj</w:t>
      </w:r>
      <w:r w:rsidR="00BF0E04" w:rsidRPr="00683075">
        <w:t xml:space="preserve"> </w:t>
      </w:r>
      <w:r w:rsidRPr="00683075">
        <w:t>keď konštatovať skončenie dlhovej krízy</w:t>
      </w:r>
      <w:r w:rsidR="003E557A">
        <w:t xml:space="preserve"> v </w:t>
      </w:r>
      <w:r w:rsidRPr="00683075">
        <w:t>eurozóne</w:t>
      </w:r>
      <w:r w:rsidR="00BF0E04" w:rsidRPr="00683075">
        <w:t xml:space="preserve"> </w:t>
      </w:r>
      <w:r w:rsidRPr="00683075">
        <w:t>by bolo predčasné</w:t>
      </w:r>
      <w:r w:rsidR="003E557A">
        <w:t xml:space="preserve"> a </w:t>
      </w:r>
      <w:r w:rsidRPr="00683075">
        <w:t>neopodstatnené, ukázalo</w:t>
      </w:r>
      <w:r w:rsidR="00BF0E04" w:rsidRPr="00683075">
        <w:t xml:space="preserve"> </w:t>
      </w:r>
      <w:r w:rsidRPr="00683075">
        <w:t>sa, že mix či už realizovaných, alebo ešte len</w:t>
      </w:r>
      <w:r w:rsidR="00BF0E04" w:rsidRPr="00683075">
        <w:t xml:space="preserve"> </w:t>
      </w:r>
      <w:r w:rsidRPr="00683075">
        <w:t>rozpracovaných opatrení prinajmenšom potlačil</w:t>
      </w:r>
      <w:r w:rsidR="00BF0E04" w:rsidRPr="00683075">
        <w:t xml:space="preserve"> </w:t>
      </w:r>
      <w:r w:rsidRPr="00683075">
        <w:t>do úzadia obavy</w:t>
      </w:r>
      <w:r w:rsidR="003E557A">
        <w:t xml:space="preserve"> z </w:t>
      </w:r>
      <w:r w:rsidRPr="00683075">
        <w:t>extrémneho vývoja</w:t>
      </w:r>
      <w:r w:rsidR="003E557A">
        <w:t xml:space="preserve"> v </w:t>
      </w:r>
      <w:r w:rsidRPr="00683075">
        <w:t>eurozóne,</w:t>
      </w:r>
      <w:r w:rsidR="00BF0E04" w:rsidRPr="00683075">
        <w:t xml:space="preserve"> </w:t>
      </w:r>
      <w:r w:rsidRPr="00683075">
        <w:t xml:space="preserve">čo vplývalo priaznivo na zníženie </w:t>
      </w:r>
      <w:proofErr w:type="spellStart"/>
      <w:r w:rsidRPr="00683075">
        <w:t>volatility</w:t>
      </w:r>
      <w:proofErr w:type="spellEnd"/>
      <w:r w:rsidR="003E557A">
        <w:t xml:space="preserve"> a </w:t>
      </w:r>
      <w:r w:rsidRPr="00683075">
        <w:t>ocenenie aktív. Na druhej strane, stále ostáva</w:t>
      </w:r>
      <w:r w:rsidR="003E557A">
        <w:t xml:space="preserve"> v </w:t>
      </w:r>
      <w:r w:rsidRPr="00683075">
        <w:t xml:space="preserve">hre veľa faktorov, ktoré môžu otočiť </w:t>
      </w:r>
      <w:proofErr w:type="spellStart"/>
      <w:r w:rsidRPr="00683075">
        <w:t>sentiment</w:t>
      </w:r>
      <w:proofErr w:type="spellEnd"/>
      <w:r w:rsidR="00BF0E04" w:rsidRPr="00683075">
        <w:t xml:space="preserve"> </w:t>
      </w:r>
      <w:r w:rsidRPr="00683075">
        <w:t>na finančných trhoch opäť výrazne negatívnym</w:t>
      </w:r>
      <w:r w:rsidR="00BF0E04" w:rsidRPr="00683075">
        <w:t xml:space="preserve"> </w:t>
      </w:r>
      <w:r w:rsidRPr="00683075">
        <w:t>smerom.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Výnosy do splatnosti štátnych dlhopisov periférnych</w:t>
      </w:r>
      <w:r w:rsidR="00BF0E04" w:rsidRPr="00683075">
        <w:t xml:space="preserve"> </w:t>
      </w:r>
      <w:r w:rsidRPr="00683075">
        <w:t>krajín</w:t>
      </w:r>
      <w:r w:rsidR="003E557A">
        <w:t xml:space="preserve"> a </w:t>
      </w:r>
      <w:r w:rsidRPr="00683075">
        <w:t xml:space="preserve">zodpovedajúce CDS </w:t>
      </w:r>
      <w:proofErr w:type="spellStart"/>
      <w:r w:rsidRPr="00683075">
        <w:t>spready</w:t>
      </w:r>
      <w:proofErr w:type="spellEnd"/>
      <w:r w:rsidRPr="00683075">
        <w:t>,</w:t>
      </w:r>
      <w:r w:rsidR="00BF0E04" w:rsidRPr="00683075">
        <w:t xml:space="preserve"> </w:t>
      </w:r>
      <w:r w:rsidRPr="00683075">
        <w:t>ktoré sú primárnym ukazovateľom intenzity</w:t>
      </w:r>
      <w:r w:rsidR="00BF0E04" w:rsidRPr="00683075">
        <w:t xml:space="preserve"> </w:t>
      </w:r>
      <w:r w:rsidRPr="00683075">
        <w:t>dlhovej krízy, sa</w:t>
      </w:r>
      <w:r w:rsidR="003E557A">
        <w:t xml:space="preserve"> v </w:t>
      </w:r>
      <w:r w:rsidRPr="00683075">
        <w:t>priebehu celého sledovaného</w:t>
      </w:r>
      <w:r w:rsidR="00BF0E04" w:rsidRPr="00683075">
        <w:t xml:space="preserve"> </w:t>
      </w:r>
      <w:r w:rsidRPr="00683075">
        <w:t>obdobia nachádzali na úrovniach pomerne</w:t>
      </w:r>
      <w:r w:rsidR="00BF0E04" w:rsidRPr="00683075">
        <w:t xml:space="preserve"> </w:t>
      </w:r>
      <w:r w:rsidRPr="00683075">
        <w:t>hlboko pod maximami dosiahnutými</w:t>
      </w:r>
      <w:r w:rsidR="003E557A">
        <w:t xml:space="preserve"> v </w:t>
      </w:r>
      <w:r w:rsidRPr="00683075">
        <w:t>predošlých</w:t>
      </w:r>
      <w:r w:rsidR="00BF0E04" w:rsidRPr="00683075">
        <w:t xml:space="preserve"> </w:t>
      </w:r>
      <w:r w:rsidRPr="00683075">
        <w:t>rokoch</w:t>
      </w:r>
      <w:r w:rsidR="003E557A">
        <w:t xml:space="preserve"> v </w:t>
      </w:r>
      <w:r w:rsidRPr="00683075">
        <w:t>čase najväčšieho stresu na</w:t>
      </w:r>
      <w:r w:rsidR="00BF0E04" w:rsidRPr="00683075">
        <w:t xml:space="preserve"> </w:t>
      </w:r>
      <w:r w:rsidRPr="00683075">
        <w:t xml:space="preserve">trhoch. Určité náznaky zvýšenej </w:t>
      </w:r>
      <w:proofErr w:type="spellStart"/>
      <w:r w:rsidRPr="00683075">
        <w:t>volatility</w:t>
      </w:r>
      <w:proofErr w:type="spellEnd"/>
      <w:r w:rsidRPr="00683075">
        <w:t xml:space="preserve"> sa</w:t>
      </w:r>
      <w:r w:rsidR="00BF0E04" w:rsidRPr="00683075">
        <w:t xml:space="preserve"> </w:t>
      </w:r>
      <w:r w:rsidRPr="00683075">
        <w:t>krátkodobo vyskytli</w:t>
      </w:r>
      <w:r w:rsidR="003E557A">
        <w:t xml:space="preserve"> v </w:t>
      </w:r>
      <w:r w:rsidRPr="00683075">
        <w:t>súvislosti</w:t>
      </w:r>
      <w:r w:rsidR="003E557A">
        <w:t xml:space="preserve"> s </w:t>
      </w:r>
      <w:r w:rsidRPr="00683075">
        <w:t>krízou na Cypre,</w:t>
      </w:r>
      <w:r w:rsidR="00BF0E04" w:rsidRPr="00683075">
        <w:t xml:space="preserve"> </w:t>
      </w:r>
      <w:r w:rsidRPr="00683075">
        <w:t>či politickou nestabilitou</w:t>
      </w:r>
      <w:r w:rsidR="003E557A">
        <w:t xml:space="preserve"> v </w:t>
      </w:r>
      <w:r w:rsidRPr="00683075">
        <w:t>Taliansku</w:t>
      </w:r>
      <w:r w:rsidR="003E557A">
        <w:t xml:space="preserve"> a </w:t>
      </w:r>
      <w:r w:rsidRPr="00683075">
        <w:t>Portugalsku,</w:t>
      </w:r>
      <w:r w:rsidR="00BF0E04" w:rsidRPr="00683075">
        <w:t xml:space="preserve"> </w:t>
      </w:r>
      <w:r w:rsidRPr="00683075">
        <w:t>ale žiadna</w:t>
      </w:r>
      <w:r w:rsidR="003E557A">
        <w:t xml:space="preserve"> z </w:t>
      </w:r>
      <w:r w:rsidRPr="00683075">
        <w:t>týchto udalostí neviedla</w:t>
      </w:r>
      <w:r w:rsidR="003E557A">
        <w:t xml:space="preserve"> k </w:t>
      </w:r>
      <w:r w:rsidRPr="00683075">
        <w:t xml:space="preserve">radikálnejšej zmene </w:t>
      </w:r>
      <w:proofErr w:type="spellStart"/>
      <w:r w:rsidRPr="00683075">
        <w:t>sentimentu</w:t>
      </w:r>
      <w:proofErr w:type="spellEnd"/>
      <w:r w:rsidRPr="00683075">
        <w:t xml:space="preserve"> u investorov.</w:t>
      </w:r>
      <w:r w:rsidR="00BF0E04" w:rsidRPr="00683075">
        <w:t xml:space="preserve"> </w:t>
      </w:r>
      <w:r w:rsidRPr="00683075">
        <w:t>Írsko</w:t>
      </w:r>
      <w:r w:rsidR="003E557A">
        <w:t xml:space="preserve"> a </w:t>
      </w:r>
      <w:r w:rsidRPr="00683075">
        <w:t>Portugalsko, dve krajiny</w:t>
      </w:r>
      <w:r w:rsidR="003E557A">
        <w:t xml:space="preserve"> v </w:t>
      </w:r>
      <w:r w:rsidRPr="00683075">
        <w:t>ozdravnom</w:t>
      </w:r>
      <w:r w:rsidR="00BF0E04" w:rsidRPr="00683075">
        <w:t xml:space="preserve"> </w:t>
      </w:r>
      <w:r w:rsidRPr="00683075">
        <w:t>programe EÚ/MMF, dokonca začiatkom roka</w:t>
      </w:r>
      <w:r w:rsidR="00BF0E04" w:rsidRPr="00683075">
        <w:t xml:space="preserve"> </w:t>
      </w:r>
      <w:r w:rsidRPr="00683075">
        <w:t>2013 úspešne absolvovali návrat na primárne</w:t>
      </w:r>
      <w:r w:rsidR="00BF0E04" w:rsidRPr="00683075">
        <w:t xml:space="preserve"> </w:t>
      </w:r>
      <w:r w:rsidRPr="00683075">
        <w:t>dlhopisové trhy prostredníctvom niekoľkých</w:t>
      </w:r>
      <w:r w:rsidR="00BF0E04" w:rsidRPr="00683075">
        <w:t xml:space="preserve"> </w:t>
      </w:r>
      <w:r w:rsidRPr="00683075">
        <w:t>emisií. Ani</w:t>
      </w:r>
      <w:r w:rsidR="003E557A">
        <w:t xml:space="preserve"> v </w:t>
      </w:r>
      <w:r w:rsidRPr="00683075">
        <w:t>závere augusta však tieto dve krajiny</w:t>
      </w:r>
      <w:r w:rsidR="00BF0E04" w:rsidRPr="00683075">
        <w:t xml:space="preserve"> </w:t>
      </w:r>
      <w:r w:rsidRPr="00683075">
        <w:t>nemali</w:t>
      </w:r>
      <w:r w:rsidR="003E557A">
        <w:t xml:space="preserve"> v </w:t>
      </w:r>
      <w:r w:rsidRPr="00683075">
        <w:t>žiadnom prípade zaručený plnohodnotný</w:t>
      </w:r>
      <w:r w:rsidR="00BF0E04" w:rsidRPr="00683075">
        <w:t xml:space="preserve"> </w:t>
      </w:r>
      <w:r w:rsidRPr="00683075">
        <w:t>prístup</w:t>
      </w:r>
      <w:r w:rsidR="003E557A">
        <w:t xml:space="preserve"> k </w:t>
      </w:r>
      <w:r w:rsidRPr="00683075">
        <w:t>udržateľnému trhovému</w:t>
      </w:r>
      <w:r w:rsidR="00BF0E04" w:rsidRPr="00683075">
        <w:t xml:space="preserve"> </w:t>
      </w:r>
      <w:r w:rsidRPr="00683075">
        <w:t>financovaniu, čo</w:t>
      </w:r>
      <w:r w:rsidR="003E557A">
        <w:t xml:space="preserve"> s </w:t>
      </w:r>
      <w:r w:rsidRPr="00683075">
        <w:t>blížiacim sa koncom ich trojročných</w:t>
      </w:r>
      <w:r w:rsidR="00BF0E04" w:rsidRPr="00683075">
        <w:t xml:space="preserve"> </w:t>
      </w:r>
      <w:r w:rsidRPr="00683075">
        <w:t>programových období na konci roka</w:t>
      </w:r>
      <w:r w:rsidR="00BF0E04" w:rsidRPr="00683075">
        <w:t xml:space="preserve"> </w:t>
      </w:r>
      <w:r w:rsidRPr="00683075">
        <w:t>2013, resp. na začiatku roka 2014 môže znamenať</w:t>
      </w:r>
      <w:r w:rsidR="00BF0E04" w:rsidRPr="00683075">
        <w:t xml:space="preserve"> </w:t>
      </w:r>
      <w:r w:rsidRPr="00683075">
        <w:t>návrat turbulencií na trhy.</w:t>
      </w:r>
    </w:p>
    <w:p w:rsidR="00EC7744" w:rsidRPr="00683075" w:rsidRDefault="00820B6E" w:rsidP="00D77337">
      <w:pPr>
        <w:pStyle w:val="zvyraznene"/>
      </w:pPr>
      <w:r w:rsidRPr="00683075">
        <w:lastRenderedPageBreak/>
        <w:t>Relatívne stabilné podmienky prevládali aj</w:t>
      </w:r>
      <w:r w:rsidR="003E557A">
        <w:t xml:space="preserve"> v </w:t>
      </w:r>
      <w:r w:rsidRPr="00683075">
        <w:t>európskom bankovom sektore</w:t>
      </w:r>
    </w:p>
    <w:p w:rsidR="00EC7744" w:rsidRPr="00683075" w:rsidRDefault="00820B6E" w:rsidP="00683075">
      <w:r w:rsidRPr="00683075">
        <w:t>Aj bankový sektor</w:t>
      </w:r>
      <w:r w:rsidR="003E557A">
        <w:t xml:space="preserve"> v </w:t>
      </w:r>
      <w:r w:rsidRPr="00683075">
        <w:t>eurozóne zaznamenal prvky</w:t>
      </w:r>
      <w:r w:rsidR="00BF0E04" w:rsidRPr="00683075">
        <w:t xml:space="preserve"> </w:t>
      </w:r>
      <w:r w:rsidRPr="00683075">
        <w:t>návratu</w:t>
      </w:r>
      <w:r w:rsidR="003E557A">
        <w:t xml:space="preserve"> k </w:t>
      </w:r>
      <w:r w:rsidRPr="00683075">
        <w:t>stabilnejším pomerom. Viaceré banky</w:t>
      </w:r>
      <w:r w:rsidR="00BF0E04" w:rsidRPr="00683075">
        <w:t xml:space="preserve"> </w:t>
      </w:r>
      <w:r w:rsidRPr="00683075">
        <w:t>využili možnosť predčasného splatenia trojročnej</w:t>
      </w:r>
      <w:r w:rsidR="00BF0E04" w:rsidRPr="00683075">
        <w:t xml:space="preserve"> </w:t>
      </w:r>
      <w:r w:rsidRPr="00683075">
        <w:t>likvidity od ECB, ktorá sa otvorila po roku od</w:t>
      </w:r>
      <w:r w:rsidR="00BF0E04" w:rsidRPr="00683075">
        <w:t xml:space="preserve"> </w:t>
      </w:r>
      <w:r w:rsidRPr="00683075">
        <w:t>ich získania.</w:t>
      </w:r>
      <w:r w:rsidR="003E557A">
        <w:t xml:space="preserve"> z </w:t>
      </w:r>
      <w:r w:rsidRPr="00683075">
        <w:t>celkového objemu 523 mld. € čistého</w:t>
      </w:r>
      <w:r w:rsidR="00BF0E04" w:rsidRPr="00683075">
        <w:t xml:space="preserve"> </w:t>
      </w:r>
      <w:r w:rsidRPr="00683075">
        <w:t>prílevu likvidity</w:t>
      </w:r>
      <w:r w:rsidR="003E557A">
        <w:t xml:space="preserve"> v </w:t>
      </w:r>
      <w:r w:rsidRPr="00683075">
        <w:t>rámci dvoch trojročných</w:t>
      </w:r>
      <w:r w:rsidR="00BF0E04" w:rsidRPr="00683075">
        <w:t xml:space="preserve"> </w:t>
      </w:r>
      <w:r w:rsidRPr="00683075">
        <w:t>tendrov bolo do konca júla 2013 splatených už</w:t>
      </w:r>
      <w:r w:rsidR="00BF0E04" w:rsidRPr="00683075">
        <w:t xml:space="preserve"> </w:t>
      </w:r>
    </w:p>
    <w:p w:rsidR="00EC7744" w:rsidRPr="00683075" w:rsidRDefault="00820B6E" w:rsidP="00683075">
      <w:r w:rsidRPr="00683075">
        <w:t>61</w:t>
      </w:r>
      <w:r w:rsidR="003E557A">
        <w:t xml:space="preserve"> % </w:t>
      </w:r>
      <w:r w:rsidRPr="00683075">
        <w:t>týchto zdrojov. Treba však dodať, že</w:t>
      </w:r>
      <w:r w:rsidR="003E557A">
        <w:t xml:space="preserve"> k </w:t>
      </w:r>
      <w:r w:rsidRPr="00683075">
        <w:t>predčasnému</w:t>
      </w:r>
      <w:r w:rsidR="00BF0E04" w:rsidRPr="00683075">
        <w:t xml:space="preserve"> </w:t>
      </w:r>
      <w:r w:rsidRPr="00683075">
        <w:t>splateniu pristupovali najmä nemecké,</w:t>
      </w:r>
      <w:r w:rsidR="00BF0E04" w:rsidRPr="00683075">
        <w:t xml:space="preserve"> </w:t>
      </w:r>
      <w:r w:rsidRPr="00683075">
        <w:t>či francúzske banky, pričom banky</w:t>
      </w:r>
      <w:r w:rsidR="003E557A">
        <w:t xml:space="preserve"> v </w:t>
      </w:r>
      <w:r w:rsidRPr="00683075">
        <w:t>periférnych</w:t>
      </w:r>
      <w:r w:rsidR="00BF0E04" w:rsidRPr="00683075">
        <w:t xml:space="preserve"> </w:t>
      </w:r>
      <w:r w:rsidRPr="00683075">
        <w:t>krajinách si</w:t>
      </w:r>
      <w:r w:rsidR="003E557A">
        <w:t xml:space="preserve"> v </w:t>
      </w:r>
      <w:r w:rsidRPr="00683075">
        <w:t>mnohých prípadoch tieto prostriedky</w:t>
      </w:r>
      <w:r w:rsidR="003E557A">
        <w:t xml:space="preserve"> v </w:t>
      </w:r>
      <w:r w:rsidRPr="00683075">
        <w:t>bilancii podržali.</w:t>
      </w:r>
    </w:p>
    <w:p w:rsidR="00EC7744" w:rsidRPr="00683075" w:rsidRDefault="00820B6E" w:rsidP="00683075">
      <w:r w:rsidRPr="00683075">
        <w:t>Zníženie rizikovej averzie</w:t>
      </w:r>
      <w:r w:rsidR="003E557A">
        <w:t xml:space="preserve"> v </w:t>
      </w:r>
      <w:r w:rsidRPr="00683075">
        <w:t>kombinácii</w:t>
      </w:r>
      <w:r w:rsidR="003E557A">
        <w:t xml:space="preserve"> s </w:t>
      </w:r>
      <w:r w:rsidRPr="00683075">
        <w:t>prostredím</w:t>
      </w:r>
      <w:r w:rsidR="00BF0E04" w:rsidRPr="00683075">
        <w:t xml:space="preserve"> </w:t>
      </w:r>
      <w:r w:rsidRPr="00683075">
        <w:t>rekordne nízkych úrokových sadzieb vo</w:t>
      </w:r>
      <w:r w:rsidR="00BF0E04" w:rsidRPr="00683075">
        <w:t xml:space="preserve"> </w:t>
      </w:r>
      <w:r w:rsidRPr="00683075">
        <w:t>väčšine vyspelých ekonomík sa najmä</w:t>
      </w:r>
      <w:r w:rsidR="003E557A">
        <w:t xml:space="preserve"> v </w:t>
      </w:r>
      <w:r w:rsidRPr="00683075">
        <w:t>prvých</w:t>
      </w:r>
      <w:r w:rsidR="00BF0E04" w:rsidRPr="00683075">
        <w:t xml:space="preserve"> </w:t>
      </w:r>
      <w:r w:rsidRPr="00683075">
        <w:t>zhruba piatich mesiacoch roka 2013 prejavilo</w:t>
      </w:r>
      <w:r w:rsidR="00BF0E04" w:rsidRPr="00683075">
        <w:t xml:space="preserve"> </w:t>
      </w:r>
      <w:r w:rsidRPr="00683075">
        <w:t>plošnou snahou investorov o získanie dodatočného</w:t>
      </w:r>
      <w:r w:rsidR="00BF0E04" w:rsidRPr="00683075">
        <w:t xml:space="preserve"> </w:t>
      </w:r>
      <w:r w:rsidRPr="00683075">
        <w:t>výnosu. Celosvetovo tak vzrástol dopyt po</w:t>
      </w:r>
      <w:r w:rsidR="00BF0E04" w:rsidRPr="00683075">
        <w:t xml:space="preserve"> </w:t>
      </w:r>
      <w:r w:rsidRPr="00683075">
        <w:t>všetkých rizikovejších triedach aktív, ktoré ponúkali</w:t>
      </w:r>
      <w:r w:rsidR="00EC7744" w:rsidRPr="00683075">
        <w:t xml:space="preserve"> </w:t>
      </w:r>
      <w:r w:rsidRPr="00683075">
        <w:t>relatívne vyššie zhodnotenie. Mimoriadne</w:t>
      </w:r>
      <w:r w:rsidR="00BF0E04" w:rsidRPr="00683075">
        <w:t xml:space="preserve"> </w:t>
      </w:r>
      <w:r w:rsidRPr="00683075">
        <w:t xml:space="preserve">vzrástol záujem o investovanie do </w:t>
      </w:r>
      <w:proofErr w:type="spellStart"/>
      <w:r w:rsidRPr="00683075">
        <w:t>korporátnych</w:t>
      </w:r>
      <w:proofErr w:type="spellEnd"/>
      <w:r w:rsidR="00BF0E04" w:rsidRPr="00683075">
        <w:t xml:space="preserve"> </w:t>
      </w:r>
      <w:r w:rsidRPr="00683075">
        <w:t>dlhopisov</w:t>
      </w:r>
      <w:r w:rsidR="003E557A">
        <w:t xml:space="preserve"> s </w:t>
      </w:r>
      <w:r w:rsidRPr="00683075">
        <w:t>ratingom mimo investičného pásma.</w:t>
      </w:r>
      <w:r w:rsidR="00BF0E04" w:rsidRPr="00683075">
        <w:t xml:space="preserve"> </w:t>
      </w:r>
      <w:r w:rsidRPr="00683075">
        <w:t>Výnosy do splatnosti týchto dlhopisov vplyvom</w:t>
      </w:r>
      <w:r w:rsidR="00BF0E04" w:rsidRPr="00683075">
        <w:t xml:space="preserve"> </w:t>
      </w:r>
      <w:r w:rsidRPr="00683075">
        <w:t>zvýšených nákupov</w:t>
      </w:r>
      <w:r w:rsidR="003E557A">
        <w:t xml:space="preserve"> v </w:t>
      </w:r>
      <w:r w:rsidRPr="00683075">
        <w:t>priemere poklesli na historické</w:t>
      </w:r>
      <w:r w:rsidR="00BF0E04" w:rsidRPr="00683075">
        <w:t xml:space="preserve"> </w:t>
      </w:r>
      <w:r w:rsidRPr="00683075">
        <w:t>minimá, hoci ich kreditné charakteristiky</w:t>
      </w:r>
      <w:r w:rsidR="00BF0E04" w:rsidRPr="00683075">
        <w:t xml:space="preserve"> </w:t>
      </w:r>
      <w:r w:rsidRPr="00683075">
        <w:t>sa zásadnejším spôsobom nezlepšili. Vlna dopytu</w:t>
      </w:r>
      <w:r w:rsidR="00BF0E04" w:rsidRPr="00683075">
        <w:t xml:space="preserve"> </w:t>
      </w:r>
      <w:r w:rsidRPr="00683075">
        <w:t>tlačila analogicky nahor aj ceny akciových</w:t>
      </w:r>
      <w:r w:rsidR="00BF0E04" w:rsidRPr="00683075">
        <w:t xml:space="preserve"> </w:t>
      </w:r>
      <w:r w:rsidRPr="00683075">
        <w:t>titulov. Akciové burzy vo viacerých krajinách zaznamenali</w:t>
      </w:r>
      <w:r w:rsidR="003E557A">
        <w:t xml:space="preserve"> v </w:t>
      </w:r>
      <w:r w:rsidRPr="00683075">
        <w:t>doterajšom priebehu roka 2013 až</w:t>
      </w:r>
      <w:r w:rsidR="00BF0E04" w:rsidRPr="00683075">
        <w:t xml:space="preserve"> </w:t>
      </w:r>
      <w:r w:rsidRPr="00683075">
        <w:t>dvojciferné nárasty.</w:t>
      </w:r>
    </w:p>
    <w:p w:rsidR="00EC7744" w:rsidRPr="00683075" w:rsidRDefault="00820B6E" w:rsidP="00D77337">
      <w:pPr>
        <w:pStyle w:val="zvyraznene"/>
      </w:pPr>
      <w:r w:rsidRPr="00683075">
        <w:t>Na konci prvého polroka 2013 nastal pomerne</w:t>
      </w:r>
      <w:r w:rsidR="00BF0E04" w:rsidRPr="00683075">
        <w:t xml:space="preserve"> </w:t>
      </w:r>
      <w:r w:rsidRPr="00683075">
        <w:t>plošný nárast úrokových sadzieb ako reakcia na</w:t>
      </w:r>
      <w:r w:rsidR="00BF0E04" w:rsidRPr="00683075">
        <w:t xml:space="preserve"> </w:t>
      </w:r>
      <w:r w:rsidRPr="00683075">
        <w:t>prvotný signál Fed-u o postupnom upúšťaní od</w:t>
      </w:r>
      <w:r w:rsidR="00BF0E04" w:rsidRPr="00683075">
        <w:t xml:space="preserve"> </w:t>
      </w:r>
      <w:r w:rsidRPr="00683075">
        <w:t>mimoriadnych menových operácií</w:t>
      </w:r>
    </w:p>
    <w:p w:rsidR="00EC7744" w:rsidRPr="00683075" w:rsidRDefault="00820B6E" w:rsidP="00683075">
      <w:r w:rsidRPr="00683075">
        <w:t>Najvýznamnejšou udalosťou sledovaného obdobia</w:t>
      </w:r>
      <w:r w:rsidR="003E557A">
        <w:t xml:space="preserve"> z </w:t>
      </w:r>
      <w:r w:rsidRPr="00683075">
        <w:t>pohľadu globálnych finančných trhov</w:t>
      </w:r>
      <w:r w:rsidR="00BF0E04" w:rsidRPr="00683075">
        <w:t xml:space="preserve"> </w:t>
      </w:r>
      <w:r w:rsidRPr="00683075">
        <w:t>bola komunikácia zo strany Federálneho rezervného</w:t>
      </w:r>
      <w:r w:rsidR="00BF0E04" w:rsidRPr="00683075">
        <w:t xml:space="preserve"> </w:t>
      </w:r>
      <w:r w:rsidRPr="00683075">
        <w:t>systému</w:t>
      </w:r>
      <w:r w:rsidR="003E557A">
        <w:t xml:space="preserve"> v </w:t>
      </w:r>
      <w:r w:rsidRPr="00683075">
        <w:t>USA (</w:t>
      </w:r>
      <w:proofErr w:type="spellStart"/>
      <w:r w:rsidRPr="00683075">
        <w:t>Fed</w:t>
      </w:r>
      <w:proofErr w:type="spellEnd"/>
      <w:r w:rsidRPr="00683075">
        <w:t>), ktorá mala pripraviť</w:t>
      </w:r>
      <w:r w:rsidR="00BF0E04" w:rsidRPr="00683075">
        <w:t xml:space="preserve"> </w:t>
      </w:r>
      <w:r w:rsidRPr="00683075">
        <w:t>investorov na možný obrat</w:t>
      </w:r>
      <w:r w:rsidR="003E557A">
        <w:t xml:space="preserve"> v </w:t>
      </w:r>
      <w:r w:rsidRPr="00683075">
        <w:t>cykle menovej politiky.</w:t>
      </w:r>
      <w:r w:rsidR="00BF0E04" w:rsidRPr="00683075">
        <w:t xml:space="preserve"> </w:t>
      </w:r>
      <w:proofErr w:type="spellStart"/>
      <w:r w:rsidRPr="00683075">
        <w:t>Fed</w:t>
      </w:r>
      <w:proofErr w:type="spellEnd"/>
      <w:r w:rsidRPr="00683075">
        <w:t xml:space="preserve"> na konci mája 2013 prvýkrát avizoval,</w:t>
      </w:r>
      <w:r w:rsidR="00BF0E04" w:rsidRPr="00683075">
        <w:t xml:space="preserve"> </w:t>
      </w:r>
      <w:r w:rsidRPr="00683075">
        <w:t>že za predpokladu naplnenia očakávaní o pozitívnom</w:t>
      </w:r>
      <w:r w:rsidR="00BF0E04" w:rsidRPr="00683075">
        <w:t xml:space="preserve"> </w:t>
      </w:r>
      <w:r w:rsidRPr="00683075">
        <w:t>vývoji ekonomiky by</w:t>
      </w:r>
      <w:r w:rsidR="003E557A">
        <w:t xml:space="preserve"> v </w:t>
      </w:r>
      <w:r w:rsidRPr="00683075">
        <w:t>druhom polroku</w:t>
      </w:r>
      <w:r w:rsidR="00BF0E04" w:rsidRPr="00683075">
        <w:t xml:space="preserve"> </w:t>
      </w:r>
      <w:r w:rsidRPr="00683075">
        <w:t>2013 začal</w:t>
      </w:r>
      <w:r w:rsidR="003E557A">
        <w:t xml:space="preserve"> s </w:t>
      </w:r>
      <w:r w:rsidRPr="00683075">
        <w:t>postupným znižovaním rozsahu</w:t>
      </w:r>
      <w:r w:rsidR="00BF0E04" w:rsidRPr="00683075">
        <w:t xml:space="preserve"> </w:t>
      </w:r>
      <w:r w:rsidRPr="00683075">
        <w:t>mesačných nákupov</w:t>
      </w:r>
      <w:r w:rsidR="003E557A">
        <w:t xml:space="preserve"> v </w:t>
      </w:r>
      <w:r w:rsidRPr="00683075">
        <w:t>rámci kvantitatívneho</w:t>
      </w:r>
      <w:r w:rsidR="00BF0E04" w:rsidRPr="00683075">
        <w:t xml:space="preserve"> </w:t>
      </w:r>
      <w:r w:rsidRPr="00683075">
        <w:t>uvoľňovania, pričom ich úplné zastavenie by</w:t>
      </w:r>
      <w:r w:rsidR="00BF0E04" w:rsidRPr="00683075">
        <w:t xml:space="preserve"> </w:t>
      </w:r>
      <w:r w:rsidRPr="00683075">
        <w:t>mohlo nastať niekedy</w:t>
      </w:r>
      <w:r w:rsidR="003E557A">
        <w:t xml:space="preserve"> v </w:t>
      </w:r>
      <w:r w:rsidRPr="00683075">
        <w:t>polovici roka 2014. Reakcia</w:t>
      </w:r>
      <w:r w:rsidR="00BF0E04" w:rsidRPr="00683075">
        <w:t xml:space="preserve"> </w:t>
      </w:r>
      <w:r w:rsidRPr="00683075">
        <w:t>trhov na takýto zámer centrálnej banky bola najmä na začiatku pomerne prudká. Výnos</w:t>
      </w:r>
      <w:r w:rsidR="00BF0E04" w:rsidRPr="00683075">
        <w:t xml:space="preserve"> </w:t>
      </w:r>
      <w:r w:rsidRPr="00683075">
        <w:t>do splatnosti 10-ročných amerických štátnych</w:t>
      </w:r>
      <w:r w:rsidR="00BF0E04" w:rsidRPr="00683075">
        <w:t xml:space="preserve"> </w:t>
      </w:r>
      <w:r w:rsidRPr="00683075">
        <w:t>dlhopisov sa</w:t>
      </w:r>
      <w:r w:rsidR="003E557A">
        <w:t xml:space="preserve"> v </w:t>
      </w:r>
      <w:r w:rsidRPr="00683075">
        <w:t>priebehu mája</w:t>
      </w:r>
      <w:r w:rsidR="003E557A">
        <w:t xml:space="preserve"> a </w:t>
      </w:r>
      <w:r w:rsidRPr="00683075">
        <w:t>júna zvýšil približne</w:t>
      </w:r>
      <w:r w:rsidR="00BF0E04" w:rsidRPr="00683075">
        <w:t xml:space="preserve"> </w:t>
      </w:r>
      <w:r w:rsidRPr="00683075">
        <w:t>o jeden celý percentuálny bod na úroveň</w:t>
      </w:r>
      <w:r w:rsidR="00BF0E04" w:rsidRPr="00683075">
        <w:t xml:space="preserve"> </w:t>
      </w:r>
      <w:r w:rsidRPr="00683075">
        <w:t>okolo 2,6 %. Keďže dlhopisy emitované vládou</w:t>
      </w:r>
      <w:r w:rsidR="00BF0E04" w:rsidRPr="00683075">
        <w:t xml:space="preserve"> </w:t>
      </w:r>
      <w:r w:rsidRPr="00683075">
        <w:t>USA sú považované za základné bezrizikové aktívum,</w:t>
      </w:r>
      <w:r w:rsidR="00BF0E04" w:rsidRPr="00683075">
        <w:t xml:space="preserve"> </w:t>
      </w:r>
      <w:r w:rsidRPr="00683075">
        <w:t>posun cien smerom nadol zaznamenali</w:t>
      </w:r>
      <w:r w:rsidR="003E557A">
        <w:t xml:space="preserve"> v </w:t>
      </w:r>
      <w:r w:rsidRPr="00683075">
        <w:t>tejto súvislosti prakticky všetky triedy aktív</w:t>
      </w:r>
      <w:r w:rsidR="00BF0E04" w:rsidRPr="00683075">
        <w:t xml:space="preserve"> </w:t>
      </w:r>
      <w:r w:rsidRPr="00683075">
        <w:t>na všetkých globálne významných finančných</w:t>
      </w:r>
      <w:r w:rsidR="00BF0E04" w:rsidRPr="00683075">
        <w:t xml:space="preserve"> </w:t>
      </w:r>
      <w:r w:rsidRPr="00683075">
        <w:t>trhoch.</w:t>
      </w:r>
    </w:p>
    <w:p w:rsidR="00820B6E" w:rsidRPr="00683075" w:rsidRDefault="00820B6E" w:rsidP="00683075">
      <w:r w:rsidRPr="00683075">
        <w:t>Následne</w:t>
      </w:r>
      <w:r w:rsidR="003E557A">
        <w:t xml:space="preserve"> v </w:t>
      </w:r>
      <w:r w:rsidRPr="00683075">
        <w:t>júli</w:t>
      </w:r>
      <w:r w:rsidR="003E557A">
        <w:t xml:space="preserve"> a </w:t>
      </w:r>
      <w:r w:rsidRPr="00683075">
        <w:t>auguste bol už vývoj heterogénnejší.</w:t>
      </w:r>
      <w:r w:rsidR="00BF0E04" w:rsidRPr="00683075">
        <w:t xml:space="preserve"> </w:t>
      </w:r>
      <w:r w:rsidRPr="00683075">
        <w:t>Vývoj cien mnohých aktív ako sú</w:t>
      </w:r>
      <w:r w:rsidR="00BF0E04" w:rsidRPr="00683075">
        <w:t xml:space="preserve"> </w:t>
      </w:r>
      <w:proofErr w:type="spellStart"/>
      <w:r w:rsidRPr="00683075">
        <w:t>korporátne</w:t>
      </w:r>
      <w:proofErr w:type="spellEnd"/>
      <w:r w:rsidRPr="00683075">
        <w:t xml:space="preserve"> dlhopisy, alebo akcie</w:t>
      </w:r>
      <w:r w:rsidR="003E557A">
        <w:t xml:space="preserve"> v </w:t>
      </w:r>
      <w:r w:rsidRPr="00683075">
        <w:t>rozvinutých</w:t>
      </w:r>
      <w:r w:rsidR="00BF0E04" w:rsidRPr="00683075">
        <w:t xml:space="preserve"> </w:t>
      </w:r>
      <w:r w:rsidRPr="00683075">
        <w:t>ekonomikách eliminoval do veľkej miery poklesy</w:t>
      </w:r>
      <w:r w:rsidR="003E557A">
        <w:t xml:space="preserve"> z </w:t>
      </w:r>
      <w:r w:rsidRPr="00683075">
        <w:t>predošlého obdobia. Neplatilo to však napríklad</w:t>
      </w:r>
      <w:r w:rsidR="00BF0E04" w:rsidRPr="00683075">
        <w:t xml:space="preserve"> </w:t>
      </w:r>
      <w:r w:rsidRPr="00683075">
        <w:t>pre americké štátne dlhopisy</w:t>
      </w:r>
      <w:r w:rsidR="003E557A">
        <w:t xml:space="preserve"> a </w:t>
      </w:r>
      <w:r w:rsidRPr="00683075">
        <w:t>akciové</w:t>
      </w:r>
      <w:r w:rsidR="00BF0E04" w:rsidRPr="00683075">
        <w:t xml:space="preserve"> </w:t>
      </w:r>
      <w:r w:rsidRPr="00683075">
        <w:t xml:space="preserve">indexy rozvíjajúcich </w:t>
      </w:r>
      <w:r w:rsidRPr="00683075">
        <w:lastRenderedPageBreak/>
        <w:t>sa krajín, ktorých ocenenie</w:t>
      </w:r>
      <w:r w:rsidR="00BF0E04" w:rsidRPr="00683075">
        <w:t xml:space="preserve"> </w:t>
      </w:r>
      <w:r w:rsidRPr="00683075">
        <w:t>zotrvalo na nižších úrovniach. Ukazuje sa teda,</w:t>
      </w:r>
      <w:r w:rsidR="00BF0E04" w:rsidRPr="00683075">
        <w:t xml:space="preserve"> </w:t>
      </w:r>
      <w:r w:rsidRPr="00683075">
        <w:t>že kapitál, ktorý</w:t>
      </w:r>
      <w:r w:rsidR="003E557A">
        <w:t xml:space="preserve"> v </w:t>
      </w:r>
      <w:r w:rsidRPr="00683075">
        <w:t>predošlom období vo veľkom</w:t>
      </w:r>
      <w:r w:rsidR="00BF0E04" w:rsidRPr="00683075">
        <w:t xml:space="preserve"> </w:t>
      </w:r>
      <w:r w:rsidRPr="00683075">
        <w:t>rozsahu prúdil do rozvinutých ekonomík, môže</w:t>
      </w:r>
      <w:r w:rsidR="00BF0E04" w:rsidRPr="00683075">
        <w:t xml:space="preserve"> </w:t>
      </w:r>
      <w:r w:rsidRPr="00683075">
        <w:t>mať tendenciu opustiť tieto krajiny, len čo sa</w:t>
      </w:r>
      <w:r w:rsidR="00BF0E04" w:rsidRPr="00683075">
        <w:t xml:space="preserve"> </w:t>
      </w:r>
      <w:r w:rsidRPr="00683075">
        <w:t>menová politika</w:t>
      </w:r>
      <w:r w:rsidR="003E557A">
        <w:t xml:space="preserve"> v </w:t>
      </w:r>
      <w:r w:rsidRPr="00683075">
        <w:t>rozvinutých krajinách začne</w:t>
      </w:r>
      <w:r w:rsidR="00BF0E04" w:rsidRPr="00683075">
        <w:t xml:space="preserve"> </w:t>
      </w:r>
      <w:r w:rsidRPr="00683075">
        <w:t>sprísňovať, čo môže následne spôsobiť komplikácie</w:t>
      </w:r>
      <w:r w:rsidR="003E557A">
        <w:t xml:space="preserve"> s </w:t>
      </w:r>
      <w:r w:rsidRPr="00683075">
        <w:t>financovaním.</w:t>
      </w:r>
      <w:r w:rsidR="00BF0E04" w:rsidRPr="00683075">
        <w:t xml:space="preserve"> </w:t>
      </w:r>
    </w:p>
    <w:p w:rsidR="00820B6E" w:rsidRPr="00683075" w:rsidRDefault="00820B6E" w:rsidP="00D77337">
      <w:pPr>
        <w:pStyle w:val="zvyraznene"/>
      </w:pPr>
      <w:r w:rsidRPr="00683075">
        <w:t>Eurozóna sa</w:t>
      </w:r>
      <w:r w:rsidR="003E557A">
        <w:t xml:space="preserve"> v </w:t>
      </w:r>
      <w:r w:rsidRPr="00683075">
        <w:t>druhom štvrťroku 2013 dostala</w:t>
      </w:r>
      <w:r w:rsidR="003E557A">
        <w:t xml:space="preserve"> z </w:t>
      </w:r>
      <w:r w:rsidRPr="00683075">
        <w:t>technickej recesie, ale výhľad do budúcnosti</w:t>
      </w:r>
      <w:r w:rsidR="00BF0E04" w:rsidRPr="00683075">
        <w:t xml:space="preserve"> </w:t>
      </w:r>
      <w:r w:rsidRPr="00683075">
        <w:t>ostáva neistý</w:t>
      </w:r>
      <w:r w:rsidR="00BF0E04" w:rsidRPr="00683075">
        <w:t xml:space="preserve"> </w:t>
      </w:r>
    </w:p>
    <w:p w:rsidR="00EC7744" w:rsidRPr="00683075" w:rsidRDefault="00820B6E" w:rsidP="00683075">
      <w:r w:rsidRPr="00683075">
        <w:t>Absencia výraznejšieho negatívneho vývoja</w:t>
      </w:r>
      <w:r w:rsidR="00BF0E04" w:rsidRPr="00683075">
        <w:t xml:space="preserve"> </w:t>
      </w:r>
      <w:r w:rsidRPr="00683075">
        <w:t>na finančných trhoch</w:t>
      </w:r>
      <w:r w:rsidR="003E557A">
        <w:t xml:space="preserve"> a v </w:t>
      </w:r>
      <w:r w:rsidRPr="00683075">
        <w:t>bankovom sektore</w:t>
      </w:r>
      <w:r w:rsidR="003E557A">
        <w:t xml:space="preserve"> v </w:t>
      </w:r>
      <w:r w:rsidRPr="00683075">
        <w:t>eurozóne bola sprevádzaná určitými signálmi</w:t>
      </w:r>
      <w:r w:rsidR="00BF0E04" w:rsidRPr="00683075">
        <w:t xml:space="preserve"> </w:t>
      </w:r>
      <w:r w:rsidRPr="00683075">
        <w:t>zlepšenia aj</w:t>
      </w:r>
      <w:r w:rsidR="003E557A">
        <w:t xml:space="preserve"> v </w:t>
      </w:r>
      <w:r w:rsidRPr="00683075">
        <w:t>makroekonomickej oblasti. Pokles</w:t>
      </w:r>
      <w:r w:rsidR="00BF0E04" w:rsidRPr="00683075">
        <w:t xml:space="preserve"> </w:t>
      </w:r>
      <w:r w:rsidRPr="00683075">
        <w:t>hrubého domáceho produktu eurozóny</w:t>
      </w:r>
      <w:r w:rsidR="003E557A">
        <w:t xml:space="preserve"> v </w:t>
      </w:r>
      <w:r w:rsidRPr="00683075">
        <w:t>prvom</w:t>
      </w:r>
      <w:r w:rsidR="00BF0E04" w:rsidRPr="00683075">
        <w:t xml:space="preserve"> </w:t>
      </w:r>
      <w:r w:rsidRPr="00683075">
        <w:t>štvrťroku 2013 o 0,2</w:t>
      </w:r>
      <w:r w:rsidR="003E557A">
        <w:t xml:space="preserve"> % </w:t>
      </w:r>
      <w:r w:rsidRPr="00683075">
        <w:t>síce ešte predĺžil nepretržitú</w:t>
      </w:r>
      <w:r w:rsidR="00BF0E04" w:rsidRPr="00683075">
        <w:t xml:space="preserve"> </w:t>
      </w:r>
      <w:r w:rsidRPr="00683075">
        <w:t>recesiu</w:t>
      </w:r>
      <w:r w:rsidR="003E557A">
        <w:t xml:space="preserve"> v </w:t>
      </w:r>
      <w:r w:rsidRPr="00683075">
        <w:t>eurozóne na celkovo jeden</w:t>
      </w:r>
      <w:r w:rsidR="003E557A">
        <w:t xml:space="preserve"> a </w:t>
      </w:r>
      <w:r w:rsidRPr="00683075">
        <w:t>pol</w:t>
      </w:r>
      <w:r w:rsidR="00BF0E04" w:rsidRPr="00683075">
        <w:t xml:space="preserve"> </w:t>
      </w:r>
      <w:r w:rsidRPr="00683075">
        <w:t>roka, ale</w:t>
      </w:r>
      <w:r w:rsidR="003E557A">
        <w:t xml:space="preserve"> v </w:t>
      </w:r>
      <w:r w:rsidRPr="00683075">
        <w:t>druhom štvrťroku už ekonomika dokázala</w:t>
      </w:r>
      <w:r w:rsidR="00BF0E04" w:rsidRPr="00683075">
        <w:t xml:space="preserve"> </w:t>
      </w:r>
      <w:r w:rsidRPr="00683075">
        <w:t>rásť na sezónne očistenej báze tempom</w:t>
      </w:r>
      <w:r w:rsidR="00BF0E04" w:rsidRPr="00683075">
        <w:t xml:space="preserve"> </w:t>
      </w:r>
      <w:r w:rsidRPr="00683075">
        <w:t>0,3</w:t>
      </w:r>
      <w:r w:rsidR="003E557A">
        <w:t xml:space="preserve"> % </w:t>
      </w:r>
      <w:r w:rsidRPr="00683075">
        <w:t>oproti predošlému štvrťroku. Aj keď návrat</w:t>
      </w:r>
      <w:r w:rsidR="003E557A">
        <w:t xml:space="preserve"> k </w:t>
      </w:r>
      <w:r w:rsidRPr="00683075">
        <w:t>pozitívnej dynamike sa všeobecne očakával,</w:t>
      </w:r>
      <w:r w:rsidR="00BF0E04" w:rsidRPr="00683075">
        <w:t xml:space="preserve"> </w:t>
      </w:r>
      <w:r w:rsidRPr="00683075">
        <w:t>výška dosiahnutého rastu bola do určitej miery</w:t>
      </w:r>
      <w:r w:rsidR="00BF0E04" w:rsidRPr="00683075">
        <w:t xml:space="preserve"> </w:t>
      </w:r>
      <w:r w:rsidRPr="00683075">
        <w:t>pozitívnym prekvapením.</w:t>
      </w:r>
    </w:p>
    <w:p w:rsidR="00EC7744" w:rsidRPr="00683075" w:rsidRDefault="00820B6E" w:rsidP="00683075">
      <w:r w:rsidRPr="00683075">
        <w:t>Agregovanú výkonnosť eurozóny potiahli</w:t>
      </w:r>
      <w:r w:rsidR="003E557A">
        <w:t xml:space="preserve"> v </w:t>
      </w:r>
      <w:r w:rsidRPr="00683075">
        <w:t>druhom</w:t>
      </w:r>
      <w:r w:rsidR="00BF0E04" w:rsidRPr="00683075">
        <w:t xml:space="preserve"> </w:t>
      </w:r>
      <w:r w:rsidRPr="00683075">
        <w:t>štvrťroku napred predovšetkým jej dve najväčšie</w:t>
      </w:r>
      <w:r w:rsidR="00BF0E04" w:rsidRPr="00683075">
        <w:t xml:space="preserve"> </w:t>
      </w:r>
      <w:r w:rsidRPr="00683075">
        <w:t>ekonomiky Nemecko</w:t>
      </w:r>
      <w:r w:rsidR="003E557A">
        <w:t xml:space="preserve"> a </w:t>
      </w:r>
      <w:r w:rsidRPr="00683075">
        <w:t>Francúzsko, ktoré</w:t>
      </w:r>
      <w:r w:rsidR="00BF0E04" w:rsidRPr="00683075">
        <w:t xml:space="preserve"> </w:t>
      </w:r>
      <w:r w:rsidRPr="00683075">
        <w:t>zaznamenali nárast HDP na úrovni 0,7 %, resp.</w:t>
      </w:r>
      <w:r w:rsidR="00BF0E04" w:rsidRPr="00683075">
        <w:t xml:space="preserve"> </w:t>
      </w:r>
      <w:r w:rsidRPr="00683075">
        <w:t>0,5 %. Zmiernenie zložitej hospodárskej situácie</w:t>
      </w:r>
      <w:r w:rsidR="00BF0E04" w:rsidRPr="00683075">
        <w:t xml:space="preserve"> </w:t>
      </w:r>
      <w:r w:rsidRPr="00683075">
        <w:t>však bolo pozorované aj</w:t>
      </w:r>
      <w:r w:rsidR="003E557A">
        <w:t xml:space="preserve"> v </w:t>
      </w:r>
      <w:r w:rsidRPr="00683075">
        <w:t>periférnych krajinách</w:t>
      </w:r>
      <w:r w:rsidR="00BF0E04" w:rsidRPr="00683075">
        <w:t xml:space="preserve"> </w:t>
      </w:r>
      <w:r w:rsidRPr="00683075">
        <w:t>eurozóny.</w:t>
      </w:r>
      <w:r w:rsidR="003E557A">
        <w:t xml:space="preserve"> v </w:t>
      </w:r>
      <w:r w:rsidRPr="00683075">
        <w:t>Španielsku</w:t>
      </w:r>
      <w:r w:rsidR="003E557A">
        <w:t xml:space="preserve"> a </w:t>
      </w:r>
      <w:r w:rsidRPr="00683075">
        <w:t>Taliansku naďalej prevládala</w:t>
      </w:r>
      <w:r w:rsidR="00BF0E04" w:rsidRPr="00683075">
        <w:t xml:space="preserve"> </w:t>
      </w:r>
      <w:r w:rsidRPr="00683075">
        <w:t>recesia, ale tempo ekonomickej kontrakcie</w:t>
      </w:r>
      <w:r w:rsidR="00BF0E04" w:rsidRPr="00683075">
        <w:t xml:space="preserve"> </w:t>
      </w:r>
      <w:r w:rsidRPr="00683075">
        <w:t>sa znižovalo</w:t>
      </w:r>
      <w:r w:rsidR="003E557A">
        <w:t xml:space="preserve"> a v </w:t>
      </w:r>
      <w:r w:rsidRPr="00683075">
        <w:t>druhom štvrťroku už bolo iba</w:t>
      </w:r>
      <w:r w:rsidR="00BF0E04" w:rsidRPr="00683075">
        <w:t xml:space="preserve"> </w:t>
      </w:r>
      <w:r w:rsidRPr="00683075">
        <w:t>minimálne. Portugalsko dokonca vykázalo rast</w:t>
      </w:r>
      <w:r w:rsidR="00BF0E04" w:rsidRPr="00683075">
        <w:t xml:space="preserve"> </w:t>
      </w:r>
      <w:r w:rsidRPr="00683075">
        <w:t>HDP vo výške 1,1 %.</w:t>
      </w:r>
    </w:p>
    <w:p w:rsidR="00EC7744" w:rsidRPr="00683075" w:rsidRDefault="00820B6E" w:rsidP="00683075">
      <w:r w:rsidRPr="00683075">
        <w:t>Zvýšená ekonomická aktivita</w:t>
      </w:r>
      <w:r w:rsidR="003E557A">
        <w:t xml:space="preserve"> v </w:t>
      </w:r>
      <w:r w:rsidRPr="00683075">
        <w:t>eurozóne sa začala</w:t>
      </w:r>
      <w:r w:rsidR="00BF0E04" w:rsidRPr="00683075">
        <w:t xml:space="preserve"> </w:t>
      </w:r>
      <w:r w:rsidRPr="00683075">
        <w:t>pozitívne premietať aj do ukazovateľov trhu</w:t>
      </w:r>
      <w:r w:rsidR="00BF0E04" w:rsidRPr="00683075">
        <w:t xml:space="preserve"> </w:t>
      </w:r>
      <w:r w:rsidRPr="00683075">
        <w:t>práce. Od konca roka 2012 do marca 2013 ešte</w:t>
      </w:r>
      <w:r w:rsidR="00BF0E04" w:rsidRPr="00683075">
        <w:t xml:space="preserve"> </w:t>
      </w:r>
      <w:r w:rsidRPr="00683075">
        <w:t>miera nezamestnanosti za eurozónu ako celok</w:t>
      </w:r>
      <w:r w:rsidR="00BF0E04" w:rsidRPr="00683075">
        <w:t xml:space="preserve"> </w:t>
      </w:r>
      <w:r w:rsidRPr="00683075">
        <w:t>vzrástla o dve desatiny percentuálneho bodu</w:t>
      </w:r>
      <w:r w:rsidR="00BF0E04" w:rsidRPr="00683075">
        <w:t xml:space="preserve"> </w:t>
      </w:r>
      <w:r w:rsidRPr="00683075">
        <w:t>na 12,1 %, ale vo zvyšnej časti prvého polroka</w:t>
      </w:r>
      <w:r w:rsidR="00BF0E04" w:rsidRPr="00683075">
        <w:t xml:space="preserve"> </w:t>
      </w:r>
      <w:r w:rsidRPr="00683075">
        <w:t>už zotrvala na tejto úrovni. Mierny pokles miery</w:t>
      </w:r>
      <w:r w:rsidR="00BF0E04" w:rsidRPr="00683075">
        <w:t xml:space="preserve"> </w:t>
      </w:r>
      <w:r w:rsidRPr="00683075">
        <w:t>nezamestnanosti na sezónne očistenej báze vykázali</w:t>
      </w:r>
      <w:r w:rsidR="00BF0E04" w:rsidRPr="00683075">
        <w:t xml:space="preserve"> </w:t>
      </w:r>
      <w:r w:rsidRPr="00683075">
        <w:t>ku koncu sledovaného obdobia aj niektoré</w:t>
      </w:r>
      <w:r w:rsidR="00BF0E04" w:rsidRPr="00683075">
        <w:t xml:space="preserve"> </w:t>
      </w:r>
      <w:r w:rsidRPr="00683075">
        <w:t>periférne krajiny, konkrétne Španielsko</w:t>
      </w:r>
      <w:r w:rsidR="003E557A">
        <w:t xml:space="preserve"> a </w:t>
      </w:r>
      <w:r w:rsidRPr="00683075">
        <w:t>Portugalsko.</w:t>
      </w:r>
    </w:p>
    <w:p w:rsidR="00820B6E" w:rsidRPr="00683075" w:rsidRDefault="00820B6E" w:rsidP="00683075">
      <w:r w:rsidRPr="00683075">
        <w:t>Z hľadiska produkčnej stránky ekonomiky</w:t>
      </w:r>
      <w:r w:rsidR="00BF0E04" w:rsidRPr="00683075">
        <w:t xml:space="preserve"> </w:t>
      </w:r>
      <w:r w:rsidRPr="00683075">
        <w:t>prispela</w:t>
      </w:r>
      <w:r w:rsidR="003E557A">
        <w:t xml:space="preserve"> k </w:t>
      </w:r>
      <w:r w:rsidRPr="00683075">
        <w:t>ukončeniu recesie pomerne významne</w:t>
      </w:r>
      <w:r w:rsidR="00BF0E04" w:rsidRPr="00683075">
        <w:t xml:space="preserve"> </w:t>
      </w:r>
      <w:r w:rsidRPr="00683075">
        <w:t>priemyselná produkcia, ktorá po 0,2 %-</w:t>
      </w:r>
      <w:proofErr w:type="spellStart"/>
      <w:r w:rsidRPr="00683075">
        <w:t>nom</w:t>
      </w:r>
      <w:proofErr w:type="spellEnd"/>
      <w:r w:rsidR="00BF0E04" w:rsidRPr="00683075">
        <w:t xml:space="preserve"> </w:t>
      </w:r>
      <w:r w:rsidRPr="00683075">
        <w:t>raste</w:t>
      </w:r>
      <w:r w:rsidR="003E557A">
        <w:t xml:space="preserve"> v </w:t>
      </w:r>
      <w:r w:rsidRPr="00683075">
        <w:t>prvom štvrťroku 2013 zrýchlila</w:t>
      </w:r>
      <w:r w:rsidR="003E557A">
        <w:t xml:space="preserve"> v </w:t>
      </w:r>
      <w:r w:rsidRPr="00683075">
        <w:t>nasledujúcom</w:t>
      </w:r>
      <w:r w:rsidR="00BF0E04" w:rsidRPr="00683075">
        <w:t xml:space="preserve"> </w:t>
      </w:r>
      <w:r w:rsidRPr="00683075">
        <w:t>štvrťroku na 1,2 %. Po dlhšom období</w:t>
      </w:r>
      <w:r w:rsidR="00BF0E04" w:rsidRPr="00683075">
        <w:t xml:space="preserve"> </w:t>
      </w:r>
      <w:r w:rsidRPr="00683075">
        <w:t>prišiel</w:t>
      </w:r>
      <w:r w:rsidR="003E557A">
        <w:t xml:space="preserve"> v </w:t>
      </w:r>
      <w:r w:rsidRPr="00683075">
        <w:t>druhom štvrťroku mierne pozitívny impulz</w:t>
      </w:r>
      <w:r w:rsidR="00BF0E04" w:rsidRPr="00683075">
        <w:t xml:space="preserve"> </w:t>
      </w:r>
      <w:r w:rsidRPr="00683075">
        <w:t>do ekonomiky eurozóny aj zo strany sektora</w:t>
      </w:r>
      <w:r w:rsidR="00BF0E04" w:rsidRPr="00683075">
        <w:t xml:space="preserve"> </w:t>
      </w:r>
      <w:r w:rsidRPr="00683075">
        <w:t>stavebníctva.</w:t>
      </w:r>
      <w:r w:rsidR="003E557A">
        <w:t xml:space="preserve"> v </w:t>
      </w:r>
      <w:r w:rsidRPr="00683075">
        <w:t>Nemecku</w:t>
      </w:r>
      <w:r w:rsidR="003E557A">
        <w:t xml:space="preserve"> a </w:t>
      </w:r>
      <w:r w:rsidRPr="00683075">
        <w:t>Francúzsku podporila</w:t>
      </w:r>
      <w:r w:rsidR="00BF0E04" w:rsidRPr="00683075">
        <w:t xml:space="preserve"> </w:t>
      </w:r>
      <w:r w:rsidRPr="00683075">
        <w:t>hospodársky rast aj spotreba domácností.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Mierne oživenie agregovanej ekonomiky eurozóny</w:t>
      </w:r>
      <w:r w:rsidR="003E557A">
        <w:t xml:space="preserve"> v </w:t>
      </w:r>
      <w:r w:rsidRPr="00683075">
        <w:t>prvom polroku 2013 sa vo veľkej miere odvíjalo</w:t>
      </w:r>
      <w:r w:rsidR="00BF0E04" w:rsidRPr="00683075">
        <w:t xml:space="preserve"> </w:t>
      </w:r>
      <w:r w:rsidRPr="00683075">
        <w:t>od zlepšenia nálad</w:t>
      </w:r>
      <w:r w:rsidR="003E557A">
        <w:t xml:space="preserve"> a </w:t>
      </w:r>
      <w:proofErr w:type="spellStart"/>
      <w:r w:rsidRPr="00683075">
        <w:t>sentimentu</w:t>
      </w:r>
      <w:proofErr w:type="spellEnd"/>
      <w:r w:rsidR="003E557A">
        <w:t xml:space="preserve"> v </w:t>
      </w:r>
      <w:r w:rsidRPr="00683075">
        <w:t>kontexte</w:t>
      </w:r>
      <w:r w:rsidR="00BF0E04" w:rsidRPr="00683075">
        <w:t xml:space="preserve"> </w:t>
      </w:r>
      <w:r w:rsidRPr="00683075">
        <w:t>neprehlbujúcej sa dlhovej krízy. Napriek miernej</w:t>
      </w:r>
      <w:r w:rsidR="00BF0E04" w:rsidRPr="00683075">
        <w:t xml:space="preserve"> </w:t>
      </w:r>
      <w:r w:rsidRPr="00683075">
        <w:t>korekcii nadol počas februára</w:t>
      </w:r>
      <w:r w:rsidR="003E557A">
        <w:t xml:space="preserve"> a </w:t>
      </w:r>
      <w:r w:rsidRPr="00683075">
        <w:t>marca 2013</w:t>
      </w:r>
      <w:r w:rsidR="00BF0E04" w:rsidRPr="00683075">
        <w:t xml:space="preserve"> </w:t>
      </w:r>
      <w:r w:rsidRPr="00683075">
        <w:t xml:space="preserve">možno konštatovať, že ukazovateľ </w:t>
      </w:r>
      <w:proofErr w:type="spellStart"/>
      <w:r w:rsidRPr="00683075">
        <w:t>sentimentu</w:t>
      </w:r>
      <w:proofErr w:type="spellEnd"/>
      <w:r w:rsidR="00BF0E04" w:rsidRPr="00683075">
        <w:t xml:space="preserve"> </w:t>
      </w:r>
      <w:r w:rsidRPr="00683075">
        <w:t>Európskej komisie (ESI) vykazoval</w:t>
      </w:r>
      <w:r w:rsidR="003E557A">
        <w:t xml:space="preserve"> v </w:t>
      </w:r>
      <w:r w:rsidRPr="00683075">
        <w:t>sledovanom</w:t>
      </w:r>
      <w:r w:rsidR="00BF0E04" w:rsidRPr="00683075">
        <w:t xml:space="preserve"> </w:t>
      </w:r>
      <w:r w:rsidRPr="00683075">
        <w:t>období rastúci trend. Posledná známa hodnota</w:t>
      </w:r>
      <w:r w:rsidR="00BF0E04" w:rsidRPr="00683075">
        <w:t xml:space="preserve"> </w:t>
      </w:r>
      <w:r w:rsidRPr="00683075">
        <w:t>indexu</w:t>
      </w:r>
      <w:r w:rsidR="003E557A">
        <w:t xml:space="preserve"> z </w:t>
      </w:r>
      <w:r w:rsidRPr="00683075">
        <w:t>júla dosiahla najvyššiu hodnotu od</w:t>
      </w:r>
      <w:r w:rsidR="00BF0E04" w:rsidRPr="00683075">
        <w:t xml:space="preserve"> </w:t>
      </w:r>
      <w:r w:rsidRPr="00683075">
        <w:t>polovice roka 2011, keď dlhová kríza nabrala na</w:t>
      </w:r>
      <w:r w:rsidR="00BF0E04" w:rsidRPr="00683075">
        <w:t xml:space="preserve"> </w:t>
      </w:r>
      <w:r w:rsidRPr="00683075">
        <w:t>intenzite. Na nárast optimizmu, či už</w:t>
      </w:r>
      <w:r w:rsidR="003E557A">
        <w:t xml:space="preserve"> v </w:t>
      </w:r>
      <w:r w:rsidRPr="00683075">
        <w:t>eurozóne</w:t>
      </w:r>
      <w:r w:rsidR="00BF0E04" w:rsidRPr="00683075">
        <w:t xml:space="preserve"> </w:t>
      </w:r>
      <w:r w:rsidRPr="00683075">
        <w:t xml:space="preserve">ako celku, alebo jednotlivých členských </w:t>
      </w:r>
      <w:r w:rsidRPr="00683075">
        <w:lastRenderedPageBreak/>
        <w:t>krajinách</w:t>
      </w:r>
      <w:r w:rsidR="00BF0E04" w:rsidRPr="00683075">
        <w:t xml:space="preserve"> </w:t>
      </w:r>
      <w:r w:rsidRPr="00683075">
        <w:t>poukazujú aj ďalšie obdobné indikátory.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Aj keď formálne skončenie recesie spolu</w:t>
      </w:r>
      <w:r w:rsidR="003E557A">
        <w:t xml:space="preserve"> s </w:t>
      </w:r>
      <w:r w:rsidRPr="00683075">
        <w:t>ďalšími</w:t>
      </w:r>
      <w:r w:rsidR="00BF0E04" w:rsidRPr="00683075">
        <w:t xml:space="preserve"> </w:t>
      </w:r>
      <w:r w:rsidRPr="00683075">
        <w:t>vyššie uvedenými pozitívnymi sprievodnými javmi</w:t>
      </w:r>
      <w:r w:rsidR="00BF0E04" w:rsidRPr="00683075">
        <w:t xml:space="preserve"> </w:t>
      </w:r>
      <w:r w:rsidRPr="00683075">
        <w:t>predstavuje bezpochyby vítaný vývoj, ostáva</w:t>
      </w:r>
      <w:r w:rsidR="00BF0E04" w:rsidRPr="00683075">
        <w:t xml:space="preserve"> </w:t>
      </w:r>
      <w:r w:rsidRPr="00683075">
        <w:t>otázkou, či už ide o začiatok udržateľnejšieho</w:t>
      </w:r>
      <w:r w:rsidR="003E557A">
        <w:t xml:space="preserve"> a v </w:t>
      </w:r>
      <w:r w:rsidRPr="00683075">
        <w:t>budúcnosti postupne zosilňujúceho oživenia,</w:t>
      </w:r>
      <w:r w:rsidR="00BF0E04" w:rsidRPr="00683075">
        <w:t xml:space="preserve"> </w:t>
      </w:r>
      <w:r w:rsidRPr="00683075">
        <w:t>alebo zatiaľ len o prechodnú akceleráciu. Viacero</w:t>
      </w:r>
      <w:r w:rsidR="00BF0E04" w:rsidRPr="00683075">
        <w:t xml:space="preserve"> </w:t>
      </w:r>
      <w:r w:rsidRPr="00683075">
        <w:t>faktorov zatiaľ naznačuje nízku robustnosť pozorovaného</w:t>
      </w:r>
      <w:r w:rsidR="00BF0E04" w:rsidRPr="00683075">
        <w:t xml:space="preserve"> </w:t>
      </w:r>
      <w:r w:rsidRPr="00683075">
        <w:t>obratu vo vývoji HDP.</w:t>
      </w:r>
    </w:p>
    <w:p w:rsidR="00820B6E" w:rsidRPr="00683075" w:rsidRDefault="00820B6E" w:rsidP="00683075">
      <w:r w:rsidRPr="00683075">
        <w:t>Jedným</w:t>
      </w:r>
      <w:r w:rsidR="003E557A">
        <w:t xml:space="preserve"> z </w:t>
      </w:r>
      <w:r w:rsidRPr="00683075">
        <w:t>nich je skutočnosť, že zvýšenie produkcie</w:t>
      </w:r>
      <w:r w:rsidR="003E557A">
        <w:t xml:space="preserve"> v </w:t>
      </w:r>
      <w:r w:rsidRPr="00683075">
        <w:t>eurozóne</w:t>
      </w:r>
      <w:r w:rsidR="003E557A">
        <w:t xml:space="preserve"> v </w:t>
      </w:r>
      <w:r w:rsidRPr="00683075">
        <w:t>druhom štvrťroku 2013 mohlo</w:t>
      </w:r>
      <w:r w:rsidR="00BF0E04" w:rsidRPr="00683075">
        <w:t xml:space="preserve"> </w:t>
      </w:r>
      <w:r w:rsidRPr="00683075">
        <w:t>byť do veľkej miery iba funkciou zlepšujúcich</w:t>
      </w:r>
      <w:r w:rsidR="00BF0E04" w:rsidRPr="00683075">
        <w:t xml:space="preserve"> </w:t>
      </w:r>
      <w:r w:rsidRPr="00683075">
        <w:t>sa očakávaní</w:t>
      </w:r>
      <w:r w:rsidR="003E557A">
        <w:t xml:space="preserve"> v </w:t>
      </w:r>
      <w:r w:rsidRPr="00683075">
        <w:t>ekonomike ohľadom budúceho</w:t>
      </w:r>
      <w:r w:rsidR="00BF0E04" w:rsidRPr="00683075">
        <w:t xml:space="preserve"> </w:t>
      </w:r>
      <w:r w:rsidRPr="00683075">
        <w:t>vývoja. Pri detailnejšom pohľade na komponenty</w:t>
      </w:r>
      <w:r w:rsidR="00BF0E04" w:rsidRPr="00683075">
        <w:t xml:space="preserve"> </w:t>
      </w:r>
      <w:r w:rsidRPr="00683075">
        <w:t>ukazovateľov PMI, alebo ESI sa ukazuje,</w:t>
      </w:r>
      <w:r w:rsidR="00BF0E04" w:rsidRPr="00683075">
        <w:t xml:space="preserve"> </w:t>
      </w:r>
      <w:r w:rsidRPr="00683075">
        <w:t>že produkcia rástla rýchlejšie ako objednávky,</w:t>
      </w:r>
      <w:r w:rsidR="003E557A">
        <w:t xml:space="preserve"> a </w:t>
      </w:r>
      <w:r w:rsidRPr="00683075">
        <w:t>že dopyt, ako domáci tak aj zahraničný, ostáva</w:t>
      </w:r>
      <w:r w:rsidR="00BF0E04" w:rsidRPr="00683075">
        <w:t xml:space="preserve"> </w:t>
      </w:r>
      <w:r w:rsidRPr="00683075">
        <w:t>utlmený.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O problémoch na strane domáceho dopytu</w:t>
      </w:r>
      <w:r w:rsidR="003E557A">
        <w:t xml:space="preserve"> v </w:t>
      </w:r>
      <w:r w:rsidRPr="00683075">
        <w:t>rámci eurozóny vypovedá aj situácia</w:t>
      </w:r>
      <w:r w:rsidR="003E557A">
        <w:t xml:space="preserve"> v </w:t>
      </w:r>
      <w:r w:rsidRPr="00683075">
        <w:t>oblasti</w:t>
      </w:r>
      <w:r w:rsidR="00BF0E04" w:rsidRPr="00683075">
        <w:t xml:space="preserve"> </w:t>
      </w:r>
      <w:r w:rsidRPr="00683075">
        <w:t>poskytovania bankových úverov. Medziročný</w:t>
      </w:r>
      <w:r w:rsidR="00BF0E04" w:rsidRPr="00683075">
        <w:t xml:space="preserve"> </w:t>
      </w:r>
      <w:r w:rsidRPr="00683075">
        <w:t>pokles objemu úverov podnikom sa</w:t>
      </w:r>
      <w:r w:rsidR="003E557A">
        <w:t xml:space="preserve"> v </w:t>
      </w:r>
      <w:r w:rsidRPr="00683075">
        <w:t>druhom</w:t>
      </w:r>
      <w:r w:rsidR="00BF0E04" w:rsidRPr="00683075">
        <w:t xml:space="preserve"> </w:t>
      </w:r>
      <w:r w:rsidRPr="00683075">
        <w:t>štvrťroku ešte prehĺbil na -2,3 %. Na jednej strane</w:t>
      </w:r>
      <w:r w:rsidR="00BF0E04" w:rsidRPr="00683075">
        <w:t xml:space="preserve"> </w:t>
      </w:r>
      <w:r w:rsidRPr="00683075">
        <w:t>je to výsledok nezáujmu o získanie financovania</w:t>
      </w:r>
      <w:r w:rsidR="00BF0E04" w:rsidRPr="00683075">
        <w:t xml:space="preserve"> </w:t>
      </w:r>
      <w:r w:rsidRPr="00683075">
        <w:t>zo strany podnikov, čo vypovedá o slabom investičnom</w:t>
      </w:r>
      <w:r w:rsidR="00BF0E04" w:rsidRPr="00683075">
        <w:t xml:space="preserve"> </w:t>
      </w:r>
      <w:r w:rsidRPr="00683075">
        <w:t>dopyte, na strane druhej prísne úverové</w:t>
      </w:r>
      <w:r w:rsidR="00BF0E04" w:rsidRPr="00683075">
        <w:t xml:space="preserve"> </w:t>
      </w:r>
      <w:r w:rsidRPr="00683075">
        <w:t>podmienky najmä</w:t>
      </w:r>
      <w:r w:rsidR="003E557A">
        <w:t xml:space="preserve"> v </w:t>
      </w:r>
      <w:r w:rsidRPr="00683075">
        <w:t>periférnych krajinách vytvárajú</w:t>
      </w:r>
      <w:r w:rsidR="00BF0E04" w:rsidRPr="00683075">
        <w:t xml:space="preserve"> </w:t>
      </w:r>
      <w:r w:rsidRPr="00683075">
        <w:t>ešte ďalšiu prekážku pre rozvoj investičnej</w:t>
      </w:r>
      <w:r w:rsidR="00BF0E04" w:rsidRPr="00683075">
        <w:t xml:space="preserve"> </w:t>
      </w:r>
      <w:r w:rsidRPr="00683075">
        <w:t>aktivity. Objem úverov domácnostiam rástol, ale</w:t>
      </w:r>
      <w:r w:rsidR="00BF0E04" w:rsidRPr="00683075">
        <w:t xml:space="preserve"> </w:t>
      </w:r>
      <w:r w:rsidRPr="00683075">
        <w:t>iba minimálnym tempom.</w:t>
      </w:r>
    </w:p>
    <w:p w:rsidR="00EC7744" w:rsidRPr="00683075" w:rsidRDefault="00820B6E" w:rsidP="00683075">
      <w:r w:rsidRPr="00683075">
        <w:t>Rizikom pre strednodobý ekonomický rast</w:t>
      </w:r>
      <w:r w:rsidR="003E557A">
        <w:t xml:space="preserve"> v </w:t>
      </w:r>
      <w:r w:rsidRPr="00683075">
        <w:t>eurozóne</w:t>
      </w:r>
      <w:r w:rsidR="00BF0E04" w:rsidRPr="00683075">
        <w:t xml:space="preserve"> </w:t>
      </w:r>
      <w:r w:rsidRPr="00683075">
        <w:t>je aj konsolidácia verejných financií.</w:t>
      </w:r>
      <w:r w:rsidR="00BF0E04" w:rsidRPr="00683075">
        <w:t xml:space="preserve"> </w:t>
      </w:r>
      <w:r w:rsidRPr="00683075">
        <w:t>Vzhľadom na horší ako očakávaný makroekonomický</w:t>
      </w:r>
      <w:r w:rsidR="00BF0E04" w:rsidRPr="00683075">
        <w:t xml:space="preserve"> </w:t>
      </w:r>
      <w:r w:rsidRPr="00683075">
        <w:t>vývoj</w:t>
      </w:r>
      <w:r w:rsidR="003E557A">
        <w:t xml:space="preserve"> v </w:t>
      </w:r>
      <w:r w:rsidRPr="00683075">
        <w:t>roku 2012 schválila Európska</w:t>
      </w:r>
      <w:r w:rsidR="00BF0E04" w:rsidRPr="00683075">
        <w:t xml:space="preserve"> </w:t>
      </w:r>
      <w:r w:rsidRPr="00683075">
        <w:t>komisia viacerým krajinám (medzi nimi aj Francúzsku)</w:t>
      </w:r>
      <w:r w:rsidR="00BF0E04" w:rsidRPr="00683075">
        <w:t xml:space="preserve"> </w:t>
      </w:r>
      <w:r w:rsidRPr="00683075">
        <w:t>odklad termínu splnenia cieľa zníženia</w:t>
      </w:r>
      <w:r w:rsidR="00BF0E04" w:rsidRPr="00683075">
        <w:t xml:space="preserve"> </w:t>
      </w:r>
      <w:r w:rsidRPr="00683075">
        <w:t>deficitu verejných financií pod 3</w:t>
      </w:r>
      <w:r w:rsidR="003E557A">
        <w:t xml:space="preserve"> % </w:t>
      </w:r>
      <w:r w:rsidRPr="00683075">
        <w:t>o jeden,</w:t>
      </w:r>
      <w:r w:rsidR="00BF0E04" w:rsidRPr="00683075">
        <w:t xml:space="preserve"> </w:t>
      </w:r>
      <w:r w:rsidRPr="00683075">
        <w:t>alebo dva roky. Aj napriek predĺženiu lehôt</w:t>
      </w:r>
      <w:r w:rsidR="00BF0E04" w:rsidRPr="00683075">
        <w:t xml:space="preserve"> </w:t>
      </w:r>
      <w:r w:rsidRPr="00683075">
        <w:t>stojí pred vládami vo väčšine krajín eurozóny</w:t>
      </w:r>
      <w:r w:rsidR="00BF0E04" w:rsidRPr="00683075">
        <w:t xml:space="preserve"> </w:t>
      </w:r>
      <w:r w:rsidRPr="00683075">
        <w:t>úloha nájsť úspory, prípadne dodatočné príjmy</w:t>
      </w:r>
      <w:r w:rsidR="00BF0E04" w:rsidRPr="00683075">
        <w:t xml:space="preserve"> </w:t>
      </w:r>
      <w:r w:rsidRPr="00683075">
        <w:t>rozpočtu vo výraznom rozsahu až niekoľkých</w:t>
      </w:r>
      <w:r w:rsidR="00BF0E04" w:rsidRPr="00683075">
        <w:t xml:space="preserve"> </w:t>
      </w:r>
      <w:r w:rsidRPr="00683075">
        <w:t>percentuálnych bodov HDP, čo bude zrejme</w:t>
      </w:r>
      <w:r w:rsidR="003E557A">
        <w:t xml:space="preserve"> v </w:t>
      </w:r>
      <w:r w:rsidRPr="00683075">
        <w:t>strednodobom horizonte predstavovať brzdu</w:t>
      </w:r>
      <w:r w:rsidR="00BF0E04" w:rsidRPr="00683075">
        <w:t xml:space="preserve"> </w:t>
      </w:r>
      <w:r w:rsidRPr="00683075">
        <w:t xml:space="preserve">pre dosiahnutie </w:t>
      </w:r>
      <w:proofErr w:type="spellStart"/>
      <w:r w:rsidRPr="00683075">
        <w:t>signifikantnejšieho</w:t>
      </w:r>
      <w:proofErr w:type="spellEnd"/>
      <w:r w:rsidRPr="00683075">
        <w:t xml:space="preserve"> hospodárskeho</w:t>
      </w:r>
      <w:r w:rsidR="00BF0E04" w:rsidRPr="00683075">
        <w:t xml:space="preserve"> </w:t>
      </w:r>
      <w:r w:rsidRPr="00683075">
        <w:t>rastu.</w:t>
      </w:r>
    </w:p>
    <w:p w:rsidR="00EC7744" w:rsidRPr="00683075" w:rsidRDefault="00820B6E" w:rsidP="00D77337">
      <w:pPr>
        <w:pStyle w:val="zvyraznene"/>
      </w:pPr>
      <w:r w:rsidRPr="00683075">
        <w:t>Ekonomika USA si napriek fiškálnym škrtom</w:t>
      </w:r>
      <w:r w:rsidR="00BF0E04" w:rsidRPr="00683075">
        <w:t xml:space="preserve"> </w:t>
      </w:r>
      <w:r w:rsidRPr="00683075">
        <w:t>zachovala pomerne dobrú výkonnosť</w:t>
      </w:r>
    </w:p>
    <w:p w:rsidR="00820B6E" w:rsidRPr="00683075" w:rsidRDefault="00820B6E" w:rsidP="00683075">
      <w:r w:rsidRPr="00683075">
        <w:t>Ekonomický vývoj</w:t>
      </w:r>
      <w:r w:rsidR="003E557A">
        <w:t xml:space="preserve"> v </w:t>
      </w:r>
      <w:r w:rsidRPr="00683075">
        <w:t>Spojených štátoch</w:t>
      </w:r>
      <w:r w:rsidR="003E557A">
        <w:t xml:space="preserve"> v </w:t>
      </w:r>
      <w:r w:rsidRPr="00683075">
        <w:t>prvej</w:t>
      </w:r>
      <w:r w:rsidR="00BF0E04" w:rsidRPr="00683075">
        <w:t xml:space="preserve"> </w:t>
      </w:r>
      <w:r w:rsidRPr="00683075">
        <w:t>polovici roka 2013 by sa dal charakterizovať ako</w:t>
      </w:r>
      <w:r w:rsidR="00BF0E04" w:rsidRPr="00683075">
        <w:t xml:space="preserve"> </w:t>
      </w:r>
      <w:r w:rsidRPr="00683075">
        <w:t>pozitívny. Ekonomika USA bola schopná vyrovnať</w:t>
      </w:r>
      <w:r w:rsidR="00BF0E04" w:rsidRPr="00683075">
        <w:t xml:space="preserve"> </w:t>
      </w:r>
      <w:r w:rsidRPr="00683075">
        <w:t>sa pomerne dobre so šokom</w:t>
      </w:r>
      <w:r w:rsidR="003E557A">
        <w:t xml:space="preserve"> v </w:t>
      </w:r>
      <w:r w:rsidRPr="00683075">
        <w:t>podobe zvýšenia</w:t>
      </w:r>
      <w:r w:rsidR="00BF0E04" w:rsidRPr="00683075">
        <w:t xml:space="preserve"> </w:t>
      </w:r>
      <w:r w:rsidRPr="00683075">
        <w:t>daní</w:t>
      </w:r>
      <w:r w:rsidR="003E557A">
        <w:t xml:space="preserve"> a </w:t>
      </w:r>
      <w:r w:rsidRPr="00683075">
        <w:t>odvodov</w:t>
      </w:r>
      <w:r w:rsidR="003E557A">
        <w:t xml:space="preserve"> s </w:t>
      </w:r>
      <w:r w:rsidRPr="00683075">
        <w:t>príchodom roka 2013</w:t>
      </w:r>
      <w:r w:rsidR="003E557A">
        <w:t xml:space="preserve"> a </w:t>
      </w:r>
      <w:r w:rsidRPr="00683075">
        <w:t>zahájenia plošných fiškálnych škrtov od marca.</w:t>
      </w:r>
      <w:r w:rsidR="00BF0E04" w:rsidRPr="00683075">
        <w:t xml:space="preserve"> </w:t>
      </w:r>
      <w:r w:rsidRPr="00683075">
        <w:t>Konečná spotreba domácností ostala</w:t>
      </w:r>
      <w:r w:rsidR="003E557A">
        <w:t xml:space="preserve"> v </w:t>
      </w:r>
      <w:r w:rsidRPr="00683075">
        <w:t>prvom</w:t>
      </w:r>
      <w:r w:rsidR="00BF0E04" w:rsidRPr="00683075">
        <w:t xml:space="preserve"> </w:t>
      </w:r>
      <w:r w:rsidRPr="00683075">
        <w:t>polroku 2013 robustná</w:t>
      </w:r>
      <w:r w:rsidR="003E557A">
        <w:t xml:space="preserve"> a </w:t>
      </w:r>
      <w:r w:rsidRPr="00683075">
        <w:t>napredovala tempom</w:t>
      </w:r>
      <w:r w:rsidR="00BF0E04" w:rsidRPr="00683075">
        <w:t xml:space="preserve"> </w:t>
      </w:r>
      <w:r w:rsidRPr="00683075">
        <w:t>okolo dvoch percent. Druhá základná zložka domáceho</w:t>
      </w:r>
      <w:r w:rsidR="00BF0E04" w:rsidRPr="00683075">
        <w:t xml:space="preserve"> </w:t>
      </w:r>
      <w:r w:rsidRPr="00683075">
        <w:t>dopytu, investície do fixného kapitálu,</w:t>
      </w:r>
      <w:r w:rsidR="00BF0E04" w:rsidRPr="00683075">
        <w:t xml:space="preserve"> </w:t>
      </w:r>
      <w:r w:rsidRPr="00683075">
        <w:t>sa po miernej korekcii nadol</w:t>
      </w:r>
      <w:r w:rsidR="003E557A">
        <w:t xml:space="preserve"> v </w:t>
      </w:r>
      <w:r w:rsidRPr="00683075">
        <w:t>prvom štvrťroku</w:t>
      </w:r>
      <w:r w:rsidR="00BF0E04" w:rsidRPr="00683075">
        <w:t xml:space="preserve"> </w:t>
      </w:r>
      <w:r w:rsidRPr="00683075">
        <w:t>následne vrátila na rastovú trajektóriu.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Odolnosť domáceho dopytu súvisela so zlepšujúcimi</w:t>
      </w:r>
      <w:r w:rsidR="00BF0E04" w:rsidRPr="00683075">
        <w:t xml:space="preserve"> </w:t>
      </w:r>
      <w:r w:rsidRPr="00683075">
        <w:t>sa fundamentálnymi aspektmi</w:t>
      </w:r>
      <w:r w:rsidR="003E557A">
        <w:t xml:space="preserve"> v </w:t>
      </w:r>
      <w:r w:rsidRPr="00683075">
        <w:t>ekonomike.</w:t>
      </w:r>
      <w:r w:rsidR="00BF0E04" w:rsidRPr="00683075">
        <w:t xml:space="preserve"> </w:t>
      </w:r>
      <w:r w:rsidRPr="00683075">
        <w:t>Hlavným</w:t>
      </w:r>
      <w:r w:rsidR="003E557A">
        <w:t xml:space="preserve"> z </w:t>
      </w:r>
      <w:r w:rsidRPr="00683075">
        <w:t>nich bola akcelerácia čistej</w:t>
      </w:r>
      <w:r w:rsidR="00BF0E04" w:rsidRPr="00683075">
        <w:t xml:space="preserve"> </w:t>
      </w:r>
      <w:r w:rsidRPr="00683075">
        <w:t>tvorby pracovných miest</w:t>
      </w:r>
      <w:r w:rsidR="003E557A">
        <w:t xml:space="preserve"> a </w:t>
      </w:r>
      <w:r w:rsidRPr="00683075">
        <w:t>od toho sa odvíjajúci</w:t>
      </w:r>
      <w:r w:rsidR="00BF0E04" w:rsidRPr="00683075">
        <w:t xml:space="preserve"> </w:t>
      </w:r>
      <w:r w:rsidRPr="00683075">
        <w:t>pokles miery nezamestnanosti. Významný bol aj</w:t>
      </w:r>
      <w:r w:rsidR="00BF0E04" w:rsidRPr="00683075">
        <w:t xml:space="preserve"> </w:t>
      </w:r>
      <w:r w:rsidRPr="00683075">
        <w:t>vplyv trhu nehnuteľností, ktorého oživenie postupne</w:t>
      </w:r>
      <w:r w:rsidR="00BF0E04" w:rsidRPr="00683075">
        <w:t xml:space="preserve"> </w:t>
      </w:r>
      <w:r w:rsidRPr="00683075">
        <w:t>naberalo na intenzite. Tieto trendy spolu</w:t>
      </w:r>
      <w:r w:rsidR="003E557A">
        <w:t xml:space="preserve"> s </w:t>
      </w:r>
      <w:r w:rsidRPr="00683075">
        <w:t>rastom cien aktív na finančných trhoch vzápätí</w:t>
      </w:r>
      <w:r w:rsidR="00BF0E04" w:rsidRPr="00683075">
        <w:t xml:space="preserve"> </w:t>
      </w:r>
      <w:r w:rsidRPr="00683075">
        <w:t xml:space="preserve">kladne ovplyvnili </w:t>
      </w:r>
      <w:r w:rsidRPr="00683075">
        <w:lastRenderedPageBreak/>
        <w:t>spotrebiteľskú dôveru, ktorá</w:t>
      </w:r>
      <w:r w:rsidR="00BF0E04" w:rsidRPr="00683075">
        <w:t xml:space="preserve"> </w:t>
      </w:r>
      <w:r w:rsidRPr="00683075">
        <w:t>sa</w:t>
      </w:r>
      <w:r w:rsidR="003E557A">
        <w:t xml:space="preserve"> v </w:t>
      </w:r>
      <w:r w:rsidRPr="00683075">
        <w:t>posledných mesiacoch dostala na najvyššiu</w:t>
      </w:r>
      <w:r w:rsidR="00BF0E04" w:rsidRPr="00683075">
        <w:t xml:space="preserve"> </w:t>
      </w:r>
      <w:r w:rsidRPr="00683075">
        <w:t>úroveň od začiatku roka 2008. Zlepšujúce sa</w:t>
      </w:r>
      <w:r w:rsidR="00BF0E04" w:rsidRPr="00683075">
        <w:t xml:space="preserve"> </w:t>
      </w:r>
      <w:r w:rsidRPr="00683075">
        <w:t>podmienky</w:t>
      </w:r>
      <w:r w:rsidR="003E557A">
        <w:t xml:space="preserve"> v </w:t>
      </w:r>
      <w:r w:rsidRPr="00683075">
        <w:t>ekonomike USA boli impulzom</w:t>
      </w:r>
      <w:r w:rsidR="00BF0E04" w:rsidRPr="00683075">
        <w:t xml:space="preserve"> </w:t>
      </w:r>
      <w:r w:rsidRPr="00683075">
        <w:t xml:space="preserve">pre </w:t>
      </w:r>
      <w:proofErr w:type="spellStart"/>
      <w:r w:rsidRPr="00683075">
        <w:t>Fed</w:t>
      </w:r>
      <w:proofErr w:type="spellEnd"/>
      <w:r w:rsidRPr="00683075">
        <w:t>, na základe ktorého sa centrálna banka</w:t>
      </w:r>
      <w:r w:rsidR="00BF0E04" w:rsidRPr="00683075">
        <w:t xml:space="preserve"> </w:t>
      </w:r>
      <w:r w:rsidRPr="00683075">
        <w:t>rozhodla signalizovať možný začiatok znižovania</w:t>
      </w:r>
      <w:r w:rsidR="00BF0E04" w:rsidRPr="00683075">
        <w:t xml:space="preserve"> </w:t>
      </w:r>
      <w:r w:rsidRPr="00683075">
        <w:t>stimulov prostredníctvom menovej politiky.</w:t>
      </w:r>
      <w:r w:rsidR="00BF0E04" w:rsidRPr="00683075">
        <w:t xml:space="preserve"> </w:t>
      </w:r>
      <w:proofErr w:type="spellStart"/>
      <w:r w:rsidRPr="00683075">
        <w:t>Fed</w:t>
      </w:r>
      <w:proofErr w:type="spellEnd"/>
      <w:r w:rsidRPr="00683075">
        <w:t xml:space="preserve"> nezverejnil presný harmonogram svojich</w:t>
      </w:r>
      <w:r w:rsidR="00BF0E04" w:rsidRPr="00683075">
        <w:t xml:space="preserve"> </w:t>
      </w:r>
      <w:r w:rsidRPr="00683075">
        <w:t>zámerov</w:t>
      </w:r>
      <w:r w:rsidR="003E557A">
        <w:t xml:space="preserve"> a </w:t>
      </w:r>
      <w:r w:rsidRPr="00683075">
        <w:t>podmienil ich vývojom na trhu práce</w:t>
      </w:r>
      <w:r w:rsidR="003E557A">
        <w:t xml:space="preserve"> a </w:t>
      </w:r>
      <w:r w:rsidRPr="00683075">
        <w:t>infláciou, ale prevláda konsenzus, že už na</w:t>
      </w:r>
      <w:r w:rsidR="00BF0E04" w:rsidRPr="00683075">
        <w:t xml:space="preserve"> </w:t>
      </w:r>
      <w:r w:rsidRPr="00683075">
        <w:t>septembrovom zasadnutí Výboru pre operácie</w:t>
      </w:r>
      <w:r w:rsidR="00BF0E04" w:rsidRPr="00683075">
        <w:t xml:space="preserve"> </w:t>
      </w:r>
      <w:r w:rsidRPr="00683075">
        <w:t>na voľnom trhu by mohlo padnúť rozhodnutie</w:t>
      </w:r>
      <w:r w:rsidR="00BF0E04" w:rsidRPr="00683075">
        <w:t xml:space="preserve"> </w:t>
      </w:r>
      <w:r w:rsidRPr="00683075">
        <w:t>o prvom kroku zníženia objemu nákupov dlhopisov.</w:t>
      </w:r>
    </w:p>
    <w:p w:rsidR="00EC7744" w:rsidRPr="00683075" w:rsidRDefault="00820B6E" w:rsidP="00683075">
      <w:r w:rsidRPr="00683075">
        <w:t>Medzi krátkodobé riziká pre stabilné napredovanie</w:t>
      </w:r>
      <w:r w:rsidR="00BF0E04" w:rsidRPr="00683075">
        <w:t xml:space="preserve"> </w:t>
      </w:r>
      <w:r w:rsidRPr="00683075">
        <w:t>hospodárstva USA patrí predovšetkým</w:t>
      </w:r>
      <w:r w:rsidR="00BF0E04" w:rsidRPr="00683075">
        <w:t xml:space="preserve"> </w:t>
      </w:r>
      <w:r w:rsidRPr="00683075">
        <w:t>blížiaci sa termín, keď by veľkosť štátneho dlhu</w:t>
      </w:r>
      <w:r w:rsidR="00BF0E04" w:rsidRPr="00683075">
        <w:t xml:space="preserve"> </w:t>
      </w:r>
      <w:r w:rsidRPr="00683075">
        <w:t>narazila na zákonný limit, pokiaľ tento nebude</w:t>
      </w:r>
      <w:r w:rsidR="00BF0E04" w:rsidRPr="00683075">
        <w:t xml:space="preserve"> </w:t>
      </w:r>
      <w:r w:rsidRPr="00683075">
        <w:t>medzičasom zvýšený. Najneskôr do októbra</w:t>
      </w:r>
      <w:r w:rsidR="00BF0E04" w:rsidRPr="00683075">
        <w:t xml:space="preserve"> </w:t>
      </w:r>
      <w:r w:rsidRPr="00683075">
        <w:t>až novembra by teda mala vzniknúť politická</w:t>
      </w:r>
      <w:r w:rsidR="00BF0E04" w:rsidRPr="00683075">
        <w:t xml:space="preserve"> </w:t>
      </w:r>
      <w:r w:rsidRPr="00683075">
        <w:t>dohoda o úprave limitu, avšak zatiaľ nič nenaznačuje</w:t>
      </w:r>
      <w:r w:rsidR="00BF0E04" w:rsidRPr="00683075">
        <w:t xml:space="preserve"> </w:t>
      </w:r>
      <w:r w:rsidRPr="00683075">
        <w:t>tomu, že existuje politický konsenzus</w:t>
      </w:r>
      <w:r w:rsidR="003E557A">
        <w:t xml:space="preserve"> v </w:t>
      </w:r>
      <w:r w:rsidRPr="00683075">
        <w:t>tejto otázke</w:t>
      </w:r>
      <w:r w:rsidR="003E557A">
        <w:t xml:space="preserve"> a </w:t>
      </w:r>
      <w:r w:rsidRPr="00683075">
        <w:t>hrozí zopakovanie scenára</w:t>
      </w:r>
      <w:r w:rsidR="003E557A">
        <w:t xml:space="preserve"> z </w:t>
      </w:r>
      <w:r w:rsidRPr="00683075">
        <w:t>leta</w:t>
      </w:r>
      <w:r w:rsidR="00BF0E04" w:rsidRPr="00683075">
        <w:t xml:space="preserve"> </w:t>
      </w:r>
      <w:r w:rsidRPr="00683075">
        <w:t>2011, ktorý viedol</w:t>
      </w:r>
      <w:r w:rsidR="003E557A">
        <w:t xml:space="preserve"> k </w:t>
      </w:r>
      <w:r w:rsidRPr="00683075">
        <w:t>značnému rozkolísaniu finančných</w:t>
      </w:r>
      <w:r w:rsidR="00BF0E04" w:rsidRPr="00683075">
        <w:t xml:space="preserve"> </w:t>
      </w:r>
      <w:r w:rsidRPr="00683075">
        <w:t>trhov.</w:t>
      </w:r>
      <w:r w:rsidR="00BF0E04" w:rsidRPr="00683075">
        <w:t xml:space="preserve"> </w:t>
      </w:r>
    </w:p>
    <w:p w:rsidR="00820B6E" w:rsidRPr="00683075" w:rsidRDefault="00820B6E" w:rsidP="00D77337">
      <w:pPr>
        <w:pStyle w:val="zvyraznene"/>
      </w:pPr>
      <w:r w:rsidRPr="00683075">
        <w:t>Spomaľovanie tempa hospodárskeho rastu na</w:t>
      </w:r>
      <w:r w:rsidR="00BF0E04" w:rsidRPr="00683075">
        <w:t xml:space="preserve"> </w:t>
      </w:r>
      <w:r w:rsidRPr="00683075">
        <w:t>Slovensku sa zastavilo</w:t>
      </w:r>
      <w:r w:rsidR="003E557A">
        <w:t xml:space="preserve"> a v </w:t>
      </w:r>
      <w:r w:rsidRPr="00683075">
        <w:t>druhom štvrťroku</w:t>
      </w:r>
      <w:r w:rsidR="00BF0E04" w:rsidRPr="00683075">
        <w:t xml:space="preserve"> </w:t>
      </w:r>
      <w:r w:rsidRPr="00683075">
        <w:t>2013 sa objavili náznaky oživenia</w:t>
      </w:r>
      <w:r w:rsidR="00BF0E04" w:rsidRPr="00683075">
        <w:t xml:space="preserve"> </w:t>
      </w:r>
    </w:p>
    <w:p w:rsidR="00820B6E" w:rsidRPr="00683075" w:rsidRDefault="00820B6E" w:rsidP="00683075">
      <w:r w:rsidRPr="00683075">
        <w:t>Štvrťročná dynamika hrubého domáceho produktu</w:t>
      </w:r>
      <w:r w:rsidR="00BF0E04" w:rsidRPr="00683075">
        <w:t xml:space="preserve"> </w:t>
      </w:r>
      <w:r w:rsidRPr="00683075">
        <w:t>(HDP) na Slovensku naznačuje, že domáca</w:t>
      </w:r>
      <w:r w:rsidR="00BF0E04" w:rsidRPr="00683075">
        <w:t xml:space="preserve"> </w:t>
      </w:r>
      <w:r w:rsidRPr="00683075">
        <w:t>ekonomika už dosiahla najväčší útlm okolo</w:t>
      </w:r>
      <w:r w:rsidR="00BF0E04" w:rsidRPr="00683075">
        <w:t xml:space="preserve"> </w:t>
      </w:r>
      <w:r w:rsidRPr="00683075">
        <w:t>konca roka 2012</w:t>
      </w:r>
      <w:r w:rsidR="003E557A">
        <w:t xml:space="preserve"> a </w:t>
      </w:r>
      <w:r w:rsidRPr="00683075">
        <w:t>od začiatku roka 2013 mierne</w:t>
      </w:r>
      <w:r w:rsidR="00BF0E04" w:rsidRPr="00683075">
        <w:t xml:space="preserve"> </w:t>
      </w:r>
      <w:r w:rsidRPr="00683075">
        <w:t>ožívala.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Po tom, čo</w:t>
      </w:r>
      <w:r w:rsidR="003E557A">
        <w:t xml:space="preserve"> v </w:t>
      </w:r>
      <w:r w:rsidRPr="00683075">
        <w:t>poslednom štvrťroku 2012 zaznamenal</w:t>
      </w:r>
      <w:r w:rsidR="00BF0E04" w:rsidRPr="00683075">
        <w:t xml:space="preserve"> </w:t>
      </w:r>
      <w:proofErr w:type="spellStart"/>
      <w:r w:rsidRPr="00683075">
        <w:t>medzištvrťročný</w:t>
      </w:r>
      <w:proofErr w:type="spellEnd"/>
      <w:r w:rsidRPr="00683075">
        <w:t xml:space="preserve"> sezónne očistený rast HDP</w:t>
      </w:r>
      <w:r w:rsidR="00BF0E04" w:rsidRPr="00683075">
        <w:t xml:space="preserve"> </w:t>
      </w:r>
      <w:r w:rsidRPr="00683075">
        <w:t>iba minimálnu kladnú hodnotu 0,1 %, sa</w:t>
      </w:r>
      <w:r w:rsidR="003E557A">
        <w:t xml:space="preserve"> v </w:t>
      </w:r>
      <w:r w:rsidRPr="00683075">
        <w:t>prvom</w:t>
      </w:r>
      <w:r w:rsidR="003E557A">
        <w:t xml:space="preserve"> a </w:t>
      </w:r>
      <w:r w:rsidRPr="00683075">
        <w:t>druhom štvrťroku sledovaného obdobia jeho</w:t>
      </w:r>
      <w:r w:rsidR="00BF0E04" w:rsidRPr="00683075">
        <w:t xml:space="preserve"> </w:t>
      </w:r>
      <w:r w:rsidRPr="00683075">
        <w:t>tempo mierne zvýšilo, najprv na 0,2</w:t>
      </w:r>
      <w:r w:rsidR="003E557A">
        <w:t xml:space="preserve"> % a </w:t>
      </w:r>
      <w:r w:rsidRPr="00683075">
        <w:t>následne</w:t>
      </w:r>
      <w:r w:rsidR="00BF0E04" w:rsidRPr="00683075">
        <w:t xml:space="preserve"> </w:t>
      </w:r>
      <w:r w:rsidRPr="00683075">
        <w:t>na 0,3 %.</w:t>
      </w:r>
      <w:r w:rsidR="003E557A">
        <w:t xml:space="preserve"> v </w:t>
      </w:r>
      <w:r w:rsidRPr="00683075">
        <w:t>medziročnom porovnaní ekonomika</w:t>
      </w:r>
      <w:r w:rsidR="00BF0E04" w:rsidRPr="00683075">
        <w:t xml:space="preserve"> </w:t>
      </w:r>
      <w:r w:rsidRPr="00683075">
        <w:t>ešte spomalila na úroveň 0,8 %. Podľa najnovšej</w:t>
      </w:r>
      <w:r w:rsidR="00BF0E04" w:rsidRPr="00683075">
        <w:t xml:space="preserve"> </w:t>
      </w:r>
      <w:r w:rsidRPr="00683075">
        <w:t>predikcie NBS publikovanej</w:t>
      </w:r>
      <w:r w:rsidR="003E557A">
        <w:t xml:space="preserve"> v </w:t>
      </w:r>
      <w:r w:rsidRPr="00683075">
        <w:t>júni 2013, by sa výkonnosť</w:t>
      </w:r>
      <w:r w:rsidR="00BF0E04" w:rsidRPr="00683075">
        <w:t xml:space="preserve"> </w:t>
      </w:r>
      <w:r w:rsidRPr="00683075">
        <w:t>slovenského hospodárstva za celý rok</w:t>
      </w:r>
      <w:r w:rsidR="00BF0E04" w:rsidRPr="00683075">
        <w:t xml:space="preserve"> </w:t>
      </w:r>
      <w:r w:rsidRPr="00683075">
        <w:t>2013 mala pohybovať okolo hladiny 0,6 %.</w:t>
      </w:r>
    </w:p>
    <w:p w:rsidR="00EC7744" w:rsidRPr="00683075" w:rsidRDefault="00820B6E" w:rsidP="00683075">
      <w:r w:rsidRPr="00683075">
        <w:t>Napriek štatisticky vykázanému zrýchleniu, prvý</w:t>
      </w:r>
      <w:r w:rsidR="00BF0E04" w:rsidRPr="00683075">
        <w:t xml:space="preserve"> </w:t>
      </w:r>
      <w:r w:rsidRPr="00683075">
        <w:t>štvrťrok 2013 ešte vykazoval iba minimálne</w:t>
      </w:r>
      <w:r w:rsidR="00BF0E04" w:rsidRPr="00683075">
        <w:t xml:space="preserve"> </w:t>
      </w:r>
      <w:r w:rsidRPr="00683075">
        <w:t>známky fundamentálnych pozitívnych zmien</w:t>
      </w:r>
      <w:r w:rsidR="003E557A">
        <w:t xml:space="preserve"> v </w:t>
      </w:r>
      <w:r w:rsidRPr="00683075">
        <w:t>ekonomike Slovenska.</w:t>
      </w:r>
      <w:r w:rsidR="003E557A">
        <w:t xml:space="preserve"> v </w:t>
      </w:r>
      <w:r w:rsidRPr="00683075">
        <w:t>druhom štvrťroku sa</w:t>
      </w:r>
      <w:r w:rsidR="00BF0E04" w:rsidRPr="00683075">
        <w:t xml:space="preserve"> </w:t>
      </w:r>
      <w:r w:rsidRPr="00683075">
        <w:t>však ekonomický vývoj začal uberať priaznivejším</w:t>
      </w:r>
      <w:r w:rsidR="00BF0E04" w:rsidRPr="00683075">
        <w:t xml:space="preserve"> </w:t>
      </w:r>
      <w:r w:rsidRPr="00683075">
        <w:t>smerom</w:t>
      </w:r>
      <w:r w:rsidR="003E557A">
        <w:t xml:space="preserve"> a </w:t>
      </w:r>
      <w:r w:rsidRPr="00683075">
        <w:t>oživenie nabralo zdravšie základy.</w:t>
      </w:r>
      <w:r w:rsidR="00BF0E04" w:rsidRPr="00683075">
        <w:t xml:space="preserve"> </w:t>
      </w:r>
      <w:r w:rsidRPr="00683075">
        <w:t>Primárne to dokumentuje dopytová štruktúra</w:t>
      </w:r>
      <w:r w:rsidR="00BF0E04" w:rsidRPr="00683075">
        <w:t xml:space="preserve"> </w:t>
      </w:r>
      <w:r w:rsidRPr="00683075">
        <w:t>HDP</w:t>
      </w:r>
      <w:r w:rsidR="003E557A">
        <w:t xml:space="preserve"> v </w:t>
      </w:r>
      <w:r w:rsidRPr="00683075">
        <w:t>druhom štvrťroku 2013. Rast ekonomiky</w:t>
      </w:r>
      <w:r w:rsidR="00BF0E04" w:rsidRPr="00683075">
        <w:t xml:space="preserve"> </w:t>
      </w:r>
      <w:r w:rsidRPr="00683075">
        <w:t>bol ťahaný exportom</w:t>
      </w:r>
      <w:r w:rsidR="003E557A">
        <w:t xml:space="preserve"> a </w:t>
      </w:r>
      <w:r w:rsidRPr="00683075">
        <w:t>prvýkrát po piatich</w:t>
      </w:r>
      <w:r w:rsidR="00BF0E04" w:rsidRPr="00683075">
        <w:t xml:space="preserve"> </w:t>
      </w:r>
      <w:r w:rsidRPr="00683075">
        <w:t>štvrťrokoch poklesu aj domácim dopytom. Obnovený</w:t>
      </w:r>
      <w:r w:rsidR="00BF0E04" w:rsidRPr="00683075">
        <w:t xml:space="preserve"> </w:t>
      </w:r>
      <w:r w:rsidRPr="00683075">
        <w:t>rast vývozu tovarov</w:t>
      </w:r>
      <w:r w:rsidR="003E557A">
        <w:t xml:space="preserve"> a </w:t>
      </w:r>
      <w:r w:rsidRPr="00683075">
        <w:t>služieb bol sprevádzaný</w:t>
      </w:r>
      <w:r w:rsidR="00BF0E04" w:rsidRPr="00683075">
        <w:t xml:space="preserve"> </w:t>
      </w:r>
      <w:r w:rsidRPr="00683075">
        <w:t>pomalším rastom dovozov, čo vyústilo</w:t>
      </w:r>
      <w:r w:rsidR="00BF0E04" w:rsidRPr="00683075">
        <w:t xml:space="preserve"> </w:t>
      </w:r>
      <w:r w:rsidRPr="00683075">
        <w:t>do pozitívneho príspevku čistého exportu</w:t>
      </w:r>
      <w:r w:rsidR="003E557A">
        <w:t xml:space="preserve"> k </w:t>
      </w:r>
      <w:r w:rsidRPr="00683075">
        <w:t>HDP</w:t>
      </w:r>
      <w:r w:rsidR="00BF0E04" w:rsidRPr="00683075">
        <w:t xml:space="preserve"> </w:t>
      </w:r>
      <w:r w:rsidRPr="00683075">
        <w:t>(1,5 p. b.). O niečo nižší, ale stále výrazný (0,9 p. b.)</w:t>
      </w:r>
      <w:r w:rsidR="00BF0E04" w:rsidRPr="00683075">
        <w:t xml:space="preserve"> </w:t>
      </w:r>
      <w:r w:rsidRPr="00683075">
        <w:t>bol príspevok domáceho dopytu ako výsledok</w:t>
      </w:r>
      <w:r w:rsidR="00BF0E04" w:rsidRPr="00683075">
        <w:t xml:space="preserve"> </w:t>
      </w:r>
      <w:r w:rsidRPr="00683075">
        <w:t>obnoveného rastu súkromnej spotreby</w:t>
      </w:r>
      <w:r w:rsidR="003E557A">
        <w:t xml:space="preserve"> a </w:t>
      </w:r>
      <w:r w:rsidRPr="00683075">
        <w:t>fixných</w:t>
      </w:r>
      <w:r w:rsidR="00BF0E04" w:rsidRPr="00683075">
        <w:t xml:space="preserve"> </w:t>
      </w:r>
      <w:r w:rsidRPr="00683075">
        <w:t>investícií. Súkromnej spotrebe pomohol nárast</w:t>
      </w:r>
      <w:r w:rsidR="00BF0E04" w:rsidRPr="00683075">
        <w:t xml:space="preserve"> </w:t>
      </w:r>
      <w:r w:rsidRPr="00683075">
        <w:t>príjmov živnostníkov ako aj pracujúcich</w:t>
      </w:r>
      <w:r w:rsidR="003E557A">
        <w:t xml:space="preserve"> v </w:t>
      </w:r>
      <w:r w:rsidRPr="00683075">
        <w:t>zahraničí</w:t>
      </w:r>
      <w:r w:rsidR="003E557A">
        <w:t xml:space="preserve"> a </w:t>
      </w:r>
      <w:r w:rsidRPr="00683075">
        <w:t>obnovujúca sa dôvera spotrebiteľov. Reálny</w:t>
      </w:r>
      <w:r w:rsidR="00BF0E04" w:rsidRPr="00683075">
        <w:t xml:space="preserve"> </w:t>
      </w:r>
      <w:r w:rsidRPr="00683075">
        <w:t>objem spotreby domácností však doposiaľ</w:t>
      </w:r>
      <w:r w:rsidR="00BF0E04" w:rsidRPr="00683075">
        <w:t xml:space="preserve"> </w:t>
      </w:r>
      <w:r w:rsidRPr="00683075">
        <w:t>nedosiahol úroveň spred krízy.</w:t>
      </w:r>
    </w:p>
    <w:p w:rsidR="00EC7744" w:rsidRPr="00683075" w:rsidRDefault="00820B6E" w:rsidP="00683075">
      <w:r w:rsidRPr="00683075">
        <w:t>Celková nálada</w:t>
      </w:r>
      <w:r w:rsidR="003E557A">
        <w:t xml:space="preserve"> v </w:t>
      </w:r>
      <w:r w:rsidRPr="00683075">
        <w:t>ekonomike meraná indexom</w:t>
      </w:r>
      <w:r w:rsidR="00BF0E04" w:rsidRPr="00683075">
        <w:t xml:space="preserve"> </w:t>
      </w:r>
      <w:r w:rsidRPr="00683075">
        <w:t xml:space="preserve">ekonomického </w:t>
      </w:r>
      <w:proofErr w:type="spellStart"/>
      <w:r w:rsidRPr="00683075">
        <w:t>sentimentu</w:t>
      </w:r>
      <w:proofErr w:type="spellEnd"/>
      <w:r w:rsidRPr="00683075">
        <w:t xml:space="preserve"> Európskej komisie</w:t>
      </w:r>
      <w:r w:rsidR="00BF0E04" w:rsidRPr="00683075">
        <w:t xml:space="preserve"> </w:t>
      </w:r>
      <w:r w:rsidRPr="00683075">
        <w:t>sa</w:t>
      </w:r>
      <w:r w:rsidR="003E557A">
        <w:t xml:space="preserve"> </w:t>
      </w:r>
      <w:r w:rsidR="003E557A">
        <w:lastRenderedPageBreak/>
        <w:t>v </w:t>
      </w:r>
      <w:r w:rsidRPr="00683075">
        <w:t>mesiacoch júl</w:t>
      </w:r>
      <w:r w:rsidR="003E557A">
        <w:t xml:space="preserve"> a </w:t>
      </w:r>
      <w:r w:rsidRPr="00683075">
        <w:t>august zlepšovala. Na druhej</w:t>
      </w:r>
      <w:r w:rsidR="00BF0E04" w:rsidRPr="00683075">
        <w:t xml:space="preserve"> </w:t>
      </w:r>
      <w:r w:rsidRPr="00683075">
        <w:t>strane, samotná hodnota indexu bola iba na</w:t>
      </w:r>
      <w:r w:rsidR="00BF0E04" w:rsidRPr="00683075">
        <w:t xml:space="preserve"> </w:t>
      </w:r>
      <w:r w:rsidRPr="00683075">
        <w:t>úrovni porovnateľnej</w:t>
      </w:r>
      <w:r w:rsidR="003E557A">
        <w:t xml:space="preserve"> s </w:t>
      </w:r>
      <w:r w:rsidRPr="00683075">
        <w:t>decembrom 2012.</w:t>
      </w:r>
    </w:p>
    <w:p w:rsidR="00EC7744" w:rsidRPr="00683075" w:rsidRDefault="00820B6E" w:rsidP="00683075">
      <w:r w:rsidRPr="00683075">
        <w:t>Tržby slovenského podnikového sektora boli</w:t>
      </w:r>
      <w:r w:rsidR="003E557A">
        <w:t xml:space="preserve"> v </w:t>
      </w:r>
      <w:r w:rsidRPr="00683075">
        <w:t>prvom polroku 2013 medziročne vyššie, ale</w:t>
      </w:r>
      <w:r w:rsidR="00BF0E04" w:rsidRPr="00683075">
        <w:t xml:space="preserve"> </w:t>
      </w:r>
      <w:r w:rsidRPr="00683075">
        <w:t>ich rast sa oproti minulosti spomalil. Pomalšie</w:t>
      </w:r>
      <w:r w:rsidR="00BF0E04" w:rsidRPr="00683075">
        <w:t xml:space="preserve"> </w:t>
      </w:r>
      <w:r w:rsidRPr="00683075">
        <w:t>ako</w:t>
      </w:r>
      <w:r w:rsidR="003E557A">
        <w:t xml:space="preserve"> v </w:t>
      </w:r>
      <w:r w:rsidRPr="00683075">
        <w:t>roku 2012 rástla aj priemyselná produkcia,</w:t>
      </w:r>
      <w:r w:rsidR="00BF0E04" w:rsidRPr="00683075">
        <w:t xml:space="preserve"> </w:t>
      </w:r>
      <w:r w:rsidRPr="00683075">
        <w:t>treba však podotknúť, že od apríla sa jej tempo</w:t>
      </w:r>
      <w:r w:rsidR="00BF0E04" w:rsidRPr="00683075">
        <w:t xml:space="preserve"> </w:t>
      </w:r>
      <w:r w:rsidRPr="00683075">
        <w:t>rastu postupne zvyšovalo.</w:t>
      </w:r>
    </w:p>
    <w:p w:rsidR="00EC7744" w:rsidRPr="00683075" w:rsidRDefault="00820B6E" w:rsidP="00683075">
      <w:r w:rsidRPr="00683075">
        <w:t>Akcelerácia ekonomickej aktivity sa ale zatiaľ</w:t>
      </w:r>
      <w:r w:rsidR="00BF0E04" w:rsidRPr="00683075">
        <w:t xml:space="preserve"> </w:t>
      </w:r>
      <w:r w:rsidRPr="00683075">
        <w:t>nepremietla zásadnejším spôsobom do situácie</w:t>
      </w:r>
      <w:r w:rsidR="00BF0E04" w:rsidRPr="00683075">
        <w:t xml:space="preserve"> </w:t>
      </w:r>
      <w:r w:rsidRPr="00683075">
        <w:t>na trhu práce. Zamestnanosť</w:t>
      </w:r>
      <w:r w:rsidR="003E557A">
        <w:t xml:space="preserve"> v </w:t>
      </w:r>
      <w:r w:rsidRPr="00683075">
        <w:t>prvom aj druhom</w:t>
      </w:r>
      <w:r w:rsidR="00BF0E04" w:rsidRPr="00683075">
        <w:t xml:space="preserve"> </w:t>
      </w:r>
      <w:r w:rsidRPr="00683075">
        <w:t>štvrťroku 2013 klesala tempom 0,3 %, resp. 0,4 %,</w:t>
      </w:r>
      <w:r w:rsidR="00BF0E04" w:rsidRPr="00683075">
        <w:t xml:space="preserve"> </w:t>
      </w:r>
      <w:r w:rsidRPr="00683075">
        <w:t>čo bolo viac ako sa pôvodne predpokladalo.</w:t>
      </w:r>
    </w:p>
    <w:p w:rsidR="00E34A4E" w:rsidRPr="00683075" w:rsidRDefault="00820B6E" w:rsidP="00683075">
      <w:r w:rsidRPr="00683075">
        <w:t>Pozitívnou udalosťou pre domácu ekonomiku</w:t>
      </w:r>
      <w:r w:rsidR="00BF0E04" w:rsidRPr="00683075">
        <w:t xml:space="preserve"> </w:t>
      </w:r>
      <w:r w:rsidRPr="00683075">
        <w:t>bolo značné spomalenie inflácie vplyvom spomalenia</w:t>
      </w:r>
      <w:r w:rsidR="00BF0E04" w:rsidRPr="00683075">
        <w:t xml:space="preserve"> </w:t>
      </w:r>
      <w:r w:rsidRPr="00683075">
        <w:t>rastu regulovaných cien, ale aj pribrzdenia</w:t>
      </w:r>
      <w:r w:rsidR="00BF0E04" w:rsidRPr="00683075">
        <w:t xml:space="preserve"> </w:t>
      </w:r>
      <w:r w:rsidRPr="00683075">
        <w:t>čistej inflácie. Priemerná výška celkovej</w:t>
      </w:r>
      <w:r w:rsidR="00BF0E04" w:rsidRPr="00683075">
        <w:t xml:space="preserve"> </w:t>
      </w:r>
      <w:r w:rsidRPr="00683075">
        <w:t>inflácie za rok 2013 sa už aj na základe vývoja</w:t>
      </w:r>
      <w:r w:rsidR="003E557A">
        <w:t xml:space="preserve"> v </w:t>
      </w:r>
      <w:r w:rsidRPr="00683075">
        <w:t>prvých mesiacoch sledovaného obdobia očakáva</w:t>
      </w:r>
      <w:r w:rsidR="00BF0E04" w:rsidRPr="00683075">
        <w:t xml:space="preserve"> </w:t>
      </w:r>
      <w:r w:rsidRPr="00683075">
        <w:t>na úrovni 1,7 %, čo by predstavovalo zhruba</w:t>
      </w:r>
      <w:r w:rsidR="00BF0E04" w:rsidRPr="00683075">
        <w:t xml:space="preserve"> </w:t>
      </w:r>
      <w:r w:rsidRPr="00683075">
        <w:t>polovičné tempo oproti predošlému roku. Nižšia</w:t>
      </w:r>
      <w:r w:rsidR="00BF0E04" w:rsidRPr="00683075">
        <w:t xml:space="preserve"> </w:t>
      </w:r>
      <w:r w:rsidRPr="00683075">
        <w:t>inflácia bola zrejme aj jedným</w:t>
      </w:r>
      <w:r w:rsidR="003E557A">
        <w:t xml:space="preserve"> z </w:t>
      </w:r>
      <w:r w:rsidRPr="00683075">
        <w:t>vysvetľujúcich</w:t>
      </w:r>
      <w:r w:rsidR="00BF0E04" w:rsidRPr="00683075">
        <w:t xml:space="preserve"> </w:t>
      </w:r>
      <w:r w:rsidRPr="00683075">
        <w:t>faktorov zvýšenia spotreby domácností, keďže</w:t>
      </w:r>
      <w:r w:rsidR="00BF0E04" w:rsidRPr="00683075">
        <w:t xml:space="preserve"> </w:t>
      </w:r>
      <w:r w:rsidRPr="00683075">
        <w:t>pozitívne vplývala na ich reálne príjmy.</w:t>
      </w:r>
    </w:p>
    <w:p w:rsidR="00EC7744" w:rsidRPr="00683075" w:rsidRDefault="00B361E5" w:rsidP="0002424C">
      <w:pPr>
        <w:pStyle w:val="Nadpis1"/>
      </w:pPr>
      <w:bookmarkStart w:id="4" w:name="_Ref376205284"/>
      <w:bookmarkStart w:id="5" w:name="_Toc376206539"/>
      <w:r w:rsidRPr="00683075">
        <w:lastRenderedPageBreak/>
        <w:t>Vývoj</w:t>
      </w:r>
      <w:r w:rsidR="003E557A">
        <w:t xml:space="preserve"> v </w:t>
      </w:r>
      <w:r w:rsidRPr="00683075">
        <w:t>slovenskom finančnom sektore</w:t>
      </w:r>
      <w:bookmarkEnd w:id="4"/>
      <w:bookmarkEnd w:id="5"/>
    </w:p>
    <w:p w:rsidR="00EC7744" w:rsidRPr="00683075" w:rsidRDefault="00820B6E" w:rsidP="00D77337">
      <w:pPr>
        <w:pStyle w:val="zvyraznene"/>
      </w:pPr>
      <w:r w:rsidRPr="00683075">
        <w:t>Aktivita vo finančnom sektore</w:t>
      </w:r>
    </w:p>
    <w:p w:rsidR="00EC7744" w:rsidRPr="00683075" w:rsidRDefault="00820B6E" w:rsidP="00683075">
      <w:r w:rsidRPr="00683075">
        <w:t>Napriek tomu, že prvý polrok 2013 nebol negatívne</w:t>
      </w:r>
      <w:r w:rsidR="00BF0E04" w:rsidRPr="00683075">
        <w:t xml:space="preserve"> </w:t>
      </w:r>
      <w:r w:rsidRPr="00683075">
        <w:t>ovplyvnený žiadnym výraznejším šokom</w:t>
      </w:r>
      <w:r w:rsidR="00BF0E04" w:rsidRPr="00683075">
        <w:t xml:space="preserve"> </w:t>
      </w:r>
      <w:r w:rsidRPr="00683075">
        <w:t>na finančných trhoch ani</w:t>
      </w:r>
      <w:r w:rsidR="003E557A">
        <w:t xml:space="preserve"> v </w:t>
      </w:r>
      <w:r w:rsidRPr="00683075">
        <w:t>makroekonomickej</w:t>
      </w:r>
      <w:r w:rsidR="00BF0E04" w:rsidRPr="00683075">
        <w:t xml:space="preserve"> </w:t>
      </w:r>
      <w:r w:rsidRPr="00683075">
        <w:t>oblasti,</w:t>
      </w:r>
      <w:r w:rsidR="003E557A">
        <w:t xml:space="preserve"> z </w:t>
      </w:r>
      <w:r w:rsidRPr="00683075">
        <w:t>pohľadu vývoja aktív slovenského finančného</w:t>
      </w:r>
      <w:r w:rsidR="00BF0E04" w:rsidRPr="00683075">
        <w:t xml:space="preserve"> </w:t>
      </w:r>
      <w:r w:rsidRPr="00683075">
        <w:t>sektora sa zaradil medzi jedno</w:t>
      </w:r>
      <w:r w:rsidR="003E557A">
        <w:t xml:space="preserve"> z </w:t>
      </w:r>
      <w:r w:rsidRPr="00683075">
        <w:t>najslabších</w:t>
      </w:r>
      <w:r w:rsidR="00BF0E04" w:rsidRPr="00683075">
        <w:t xml:space="preserve"> </w:t>
      </w:r>
      <w:r w:rsidRPr="00683075">
        <w:t>období. Súčet aktív regulovaných aj neregulovaných</w:t>
      </w:r>
      <w:r w:rsidR="00BF0E04" w:rsidRPr="00683075">
        <w:t xml:space="preserve"> </w:t>
      </w:r>
      <w:r w:rsidRPr="00683075">
        <w:t>subjektov finančného sektora síce</w:t>
      </w:r>
      <w:r w:rsidR="00BF0E04" w:rsidRPr="00683075">
        <w:t xml:space="preserve"> </w:t>
      </w:r>
      <w:r w:rsidRPr="00683075">
        <w:t>vzrástol, ale iba</w:t>
      </w:r>
      <w:r w:rsidR="003E557A">
        <w:t xml:space="preserve"> v </w:t>
      </w:r>
      <w:r w:rsidRPr="00683075">
        <w:t>malej miere (0,5 %), čo predstavovalo</w:t>
      </w:r>
      <w:r w:rsidR="00BF0E04" w:rsidRPr="00683075">
        <w:t xml:space="preserve"> </w:t>
      </w:r>
      <w:r w:rsidRPr="00683075">
        <w:t>druhý najhorší výsledok za kalendárny</w:t>
      </w:r>
      <w:r w:rsidR="00BF0E04" w:rsidRPr="00683075">
        <w:t xml:space="preserve"> </w:t>
      </w:r>
      <w:r w:rsidRPr="00683075">
        <w:t>polrok</w:t>
      </w:r>
      <w:r w:rsidR="003E557A">
        <w:t xml:space="preserve"> v </w:t>
      </w:r>
      <w:r w:rsidRPr="00683075">
        <w:t>pokrízovej ére od druhej polovice roka</w:t>
      </w:r>
      <w:r w:rsidR="00BF0E04" w:rsidRPr="00683075">
        <w:t xml:space="preserve"> </w:t>
      </w:r>
      <w:r w:rsidRPr="00683075">
        <w:t>2009.</w:t>
      </w:r>
    </w:p>
    <w:p w:rsidR="00EC7744" w:rsidRPr="00683075" w:rsidRDefault="00820B6E" w:rsidP="00683075">
      <w:r w:rsidRPr="00683075">
        <w:t>V troch zo sledovaných sektorov dokonca nastal</w:t>
      </w:r>
      <w:r w:rsidR="00BF0E04" w:rsidRPr="00683075">
        <w:t xml:space="preserve"> </w:t>
      </w:r>
      <w:r w:rsidRPr="00683075">
        <w:t>priamo pokles objemu aktív. Do tejto skupiny</w:t>
      </w:r>
      <w:r w:rsidR="00BF0E04" w:rsidRPr="00683075">
        <w:t xml:space="preserve"> </w:t>
      </w:r>
      <w:r w:rsidRPr="00683075">
        <w:t>sa zaradili druhý pilier dôchodkového sporenia,</w:t>
      </w:r>
      <w:r w:rsidR="00BF0E04" w:rsidRPr="00683075">
        <w:t xml:space="preserve"> </w:t>
      </w:r>
      <w:r w:rsidRPr="00683075">
        <w:t>obchodníci</w:t>
      </w:r>
      <w:r w:rsidR="003E557A">
        <w:t xml:space="preserve"> s </w:t>
      </w:r>
      <w:r w:rsidRPr="00683075">
        <w:t>cennými papiermi (OCP)</w:t>
      </w:r>
      <w:r w:rsidR="003E557A">
        <w:t xml:space="preserve"> a </w:t>
      </w:r>
      <w:proofErr w:type="spellStart"/>
      <w:r w:rsidRPr="00683075">
        <w:t>faktoring</w:t>
      </w:r>
      <w:proofErr w:type="spellEnd"/>
      <w:r w:rsidRPr="00683075">
        <w:t>.</w:t>
      </w:r>
      <w:r w:rsidR="00BF0E04" w:rsidRPr="00683075">
        <w:t xml:space="preserve"> </w:t>
      </w:r>
      <w:r w:rsidRPr="00683075">
        <w:t>Iba</w:t>
      </w:r>
      <w:r w:rsidR="003E557A">
        <w:t xml:space="preserve"> v </w:t>
      </w:r>
      <w:r w:rsidRPr="00683075">
        <w:t>segmente OCP však tempo zníženia</w:t>
      </w:r>
      <w:r w:rsidR="00BF0E04" w:rsidRPr="00683075">
        <w:t xml:space="preserve"> </w:t>
      </w:r>
      <w:r w:rsidRPr="00683075">
        <w:t>presiahlo úroveň jedného percenta.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doterajším dynamickým lineárnym rastovým</w:t>
      </w:r>
      <w:r w:rsidR="00BF0E04" w:rsidRPr="00683075">
        <w:t xml:space="preserve"> </w:t>
      </w:r>
      <w:r w:rsidRPr="00683075">
        <w:t>trendom objemu spravovaných aktív vo fondoch</w:t>
      </w:r>
      <w:r w:rsidR="00BF0E04" w:rsidRPr="00683075">
        <w:t xml:space="preserve"> </w:t>
      </w:r>
      <w:r w:rsidRPr="00683075">
        <w:t>starobného dôchodkového sporenia sa však javí</w:t>
      </w:r>
      <w:r w:rsidR="00BF0E04" w:rsidRPr="00683075">
        <w:t xml:space="preserve"> </w:t>
      </w:r>
      <w:r w:rsidRPr="00683075">
        <w:t>aj mierne negatívny vývoj</w:t>
      </w:r>
      <w:r w:rsidR="003E557A">
        <w:t xml:space="preserve"> z </w:t>
      </w:r>
      <w:r w:rsidRPr="00683075">
        <w:t>prvého polroka 2013</w:t>
      </w:r>
      <w:r w:rsidR="00BF0E04" w:rsidRPr="00683075">
        <w:t xml:space="preserve"> </w:t>
      </w:r>
      <w:r w:rsidRPr="00683075">
        <w:t xml:space="preserve">ako obzvlášť </w:t>
      </w:r>
      <w:proofErr w:type="spellStart"/>
      <w:r w:rsidRPr="00683075">
        <w:t>signifikantný</w:t>
      </w:r>
      <w:proofErr w:type="spellEnd"/>
      <w:r w:rsidRPr="00683075">
        <w:t>. Vysvetlením je</w:t>
      </w:r>
      <w:r w:rsidR="003E557A">
        <w:t xml:space="preserve"> v </w:t>
      </w:r>
      <w:r w:rsidRPr="00683075">
        <w:t>tomto</w:t>
      </w:r>
      <w:r w:rsidR="00BF0E04" w:rsidRPr="00683075">
        <w:t xml:space="preserve"> </w:t>
      </w:r>
      <w:r w:rsidRPr="00683075">
        <w:t>prípade súhra dvoch faktorov – jednorazového</w:t>
      </w:r>
      <w:r w:rsidR="00BF0E04" w:rsidRPr="00683075">
        <w:t xml:space="preserve"> </w:t>
      </w:r>
      <w:r w:rsidRPr="00683075">
        <w:t>odlivu aktív</w:t>
      </w:r>
      <w:r w:rsidR="003E557A">
        <w:t xml:space="preserve"> v </w:t>
      </w:r>
      <w:r w:rsidRPr="00683075">
        <w:t>dôsledku otvorenia druhého</w:t>
      </w:r>
      <w:r w:rsidR="00BF0E04" w:rsidRPr="00683075">
        <w:t xml:space="preserve"> </w:t>
      </w:r>
      <w:r w:rsidRPr="00683075">
        <w:t>piliera dôchodkového sporenia</w:t>
      </w:r>
      <w:r w:rsidR="003E557A">
        <w:t xml:space="preserve"> a </w:t>
      </w:r>
      <w:r w:rsidRPr="00683075">
        <w:t>menej ako polovičného</w:t>
      </w:r>
      <w:r w:rsidR="00BF0E04" w:rsidRPr="00683075">
        <w:t xml:space="preserve"> </w:t>
      </w:r>
      <w:r w:rsidRPr="00683075">
        <w:t>priebežného prílevu</w:t>
      </w:r>
      <w:r w:rsidR="003E557A">
        <w:t xml:space="preserve"> z </w:t>
      </w:r>
      <w:r w:rsidRPr="00683075">
        <w:t>odvodov oproti</w:t>
      </w:r>
      <w:r w:rsidR="00BF0E04" w:rsidRPr="00683075">
        <w:t xml:space="preserve"> </w:t>
      </w:r>
      <w:r w:rsidRPr="00683075">
        <w:t>minulosti</w:t>
      </w:r>
      <w:r w:rsidR="003E557A">
        <w:t xml:space="preserve"> z </w:t>
      </w:r>
      <w:r w:rsidRPr="00683075">
        <w:t>dôvodu nižšie stanovenej sadzby.</w:t>
      </w:r>
      <w:r w:rsidR="00BF0E04" w:rsidRPr="00683075">
        <w:t xml:space="preserve"> </w:t>
      </w:r>
      <w:r w:rsidRPr="00683075">
        <w:t>Objem klientskeho majetku</w:t>
      </w:r>
      <w:r w:rsidR="003E557A">
        <w:t xml:space="preserve"> v </w:t>
      </w:r>
      <w:r w:rsidRPr="00683075">
        <w:t>správe OCP (subjekty</w:t>
      </w:r>
      <w:r w:rsidR="003E557A">
        <w:t xml:space="preserve"> s </w:t>
      </w:r>
      <w:r w:rsidRPr="00683075">
        <w:t>povolením na poskytovanie investičných</w:t>
      </w:r>
      <w:r w:rsidR="00BF0E04" w:rsidRPr="00683075">
        <w:t xml:space="preserve"> </w:t>
      </w:r>
      <w:r w:rsidRPr="00683075">
        <w:t>služieb) nadviazal na pokles</w:t>
      </w:r>
      <w:r w:rsidR="003E557A">
        <w:t xml:space="preserve"> z </w:t>
      </w:r>
      <w:r w:rsidRPr="00683075">
        <w:t>druhého polroka</w:t>
      </w:r>
      <w:r w:rsidR="00BF0E04" w:rsidRPr="00683075">
        <w:t xml:space="preserve"> </w:t>
      </w:r>
      <w:r w:rsidRPr="00683075">
        <w:t>2012, avšak úbytok</w:t>
      </w:r>
      <w:r w:rsidR="003E557A">
        <w:t xml:space="preserve"> v </w:t>
      </w:r>
      <w:r w:rsidRPr="00683075">
        <w:t>sledovanom období bol</w:t>
      </w:r>
      <w:r w:rsidR="00BF0E04" w:rsidRPr="00683075">
        <w:t xml:space="preserve"> </w:t>
      </w:r>
      <w:r w:rsidRPr="00683075">
        <w:t>do veľkej miery dôsledkom skončenia pôsobenia</w:t>
      </w:r>
      <w:r w:rsidR="00BF0E04" w:rsidRPr="00683075">
        <w:t xml:space="preserve"> </w:t>
      </w:r>
      <w:r w:rsidRPr="00683075">
        <w:t>dvoch významných subjektov na domácom</w:t>
      </w:r>
      <w:r w:rsidR="00BF0E04" w:rsidRPr="00683075">
        <w:t xml:space="preserve"> </w:t>
      </w:r>
      <w:r w:rsidRPr="00683075">
        <w:t>trhu.</w:t>
      </w:r>
    </w:p>
    <w:p w:rsidR="00820B6E" w:rsidRPr="00683075" w:rsidRDefault="00820B6E" w:rsidP="00683075">
      <w:r w:rsidRPr="00683075">
        <w:t>Pod spomalenie rastu aktív slovenského finančného</w:t>
      </w:r>
      <w:r w:rsidR="00BF0E04" w:rsidRPr="00683075">
        <w:t xml:space="preserve"> </w:t>
      </w:r>
      <w:r w:rsidRPr="00683075">
        <w:t>sektora sa výraznou mierou podpísal aj dominantný</w:t>
      </w:r>
      <w:r w:rsidR="00BF0E04" w:rsidRPr="00683075">
        <w:t xml:space="preserve"> </w:t>
      </w:r>
      <w:r w:rsidRPr="00683075">
        <w:t>bankový sektor. Jeho bilančná suma</w:t>
      </w:r>
      <w:r w:rsidR="00BF0E04" w:rsidRPr="00683075">
        <w:t xml:space="preserve"> </w:t>
      </w:r>
      <w:r w:rsidRPr="00683075">
        <w:t>za prvých šesť mesiacov roka 2013 vzrástla iba</w:t>
      </w:r>
      <w:r w:rsidR="00BF0E04" w:rsidRPr="00683075">
        <w:t xml:space="preserve"> </w:t>
      </w:r>
      <w:r w:rsidRPr="00683075">
        <w:t>o 0,3 %. Úverovanie domácností napredovalo</w:t>
      </w:r>
      <w:r w:rsidR="00BF0E04" w:rsidRPr="00683075">
        <w:t xml:space="preserve"> </w:t>
      </w:r>
      <w:r w:rsidRPr="00683075">
        <w:t>porovnateľným tempom ako</w:t>
      </w:r>
      <w:r w:rsidR="003E557A">
        <w:t xml:space="preserve"> v </w:t>
      </w:r>
      <w:r w:rsidRPr="00683075">
        <w:t>minulom roku,</w:t>
      </w:r>
      <w:r w:rsidR="00BF0E04" w:rsidRPr="00683075">
        <w:t xml:space="preserve"> </w:t>
      </w:r>
      <w:r w:rsidRPr="00683075">
        <w:t>avšak objem úverov poskytnutých sektoru podnikov</w:t>
      </w:r>
      <w:r w:rsidR="00BF0E04" w:rsidRPr="00683075">
        <w:t xml:space="preserve"> </w:t>
      </w:r>
      <w:r w:rsidRPr="00683075">
        <w:t>zaznamenal pokles</w:t>
      </w:r>
      <w:r w:rsidR="003E557A">
        <w:t xml:space="preserve"> a </w:t>
      </w:r>
      <w:r w:rsidRPr="00683075">
        <w:t>znížilo sa aj vystavenie</w:t>
      </w:r>
      <w:r w:rsidR="00BF0E04" w:rsidRPr="00683075">
        <w:t xml:space="preserve"> </w:t>
      </w:r>
      <w:r w:rsidRPr="00683075">
        <w:t>domácich bánk voči bankám</w:t>
      </w:r>
      <w:r w:rsidR="003E557A">
        <w:t xml:space="preserve"> v </w:t>
      </w:r>
      <w:r w:rsidRPr="00683075">
        <w:t>zahraničí.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Podobne pri poisťovniach sa rast objemu ich</w:t>
      </w:r>
      <w:r w:rsidR="00BF0E04" w:rsidRPr="00683075">
        <w:t xml:space="preserve"> </w:t>
      </w:r>
      <w:r w:rsidRPr="00683075">
        <w:t>aktív</w:t>
      </w:r>
      <w:r w:rsidR="003E557A">
        <w:t xml:space="preserve"> v </w:t>
      </w:r>
      <w:r w:rsidRPr="00683075">
        <w:t>prvom polroku 2013 takmer zastavil,</w:t>
      </w:r>
      <w:r w:rsidR="00BF0E04" w:rsidRPr="00683075">
        <w:t xml:space="preserve"> </w:t>
      </w:r>
      <w:r w:rsidRPr="00683075">
        <w:t>keď dosiahol iba 0,2 %, čo kontrastuje</w:t>
      </w:r>
      <w:r w:rsidR="003E557A">
        <w:t xml:space="preserve"> s </w:t>
      </w:r>
      <w:r w:rsidRPr="00683075">
        <w:t>viac ako</w:t>
      </w:r>
      <w:r w:rsidR="00BF0E04" w:rsidRPr="00683075">
        <w:t xml:space="preserve"> </w:t>
      </w:r>
      <w:r w:rsidRPr="00683075">
        <w:t>6 %-</w:t>
      </w:r>
      <w:proofErr w:type="spellStart"/>
      <w:r w:rsidRPr="00683075">
        <w:t>nou</w:t>
      </w:r>
      <w:proofErr w:type="spellEnd"/>
      <w:r w:rsidRPr="00683075">
        <w:t xml:space="preserve"> dynamikou predošlého kalendárneho</w:t>
      </w:r>
      <w:r w:rsidR="00BF0E04" w:rsidRPr="00683075">
        <w:t xml:space="preserve"> </w:t>
      </w:r>
      <w:r w:rsidRPr="00683075">
        <w:t>roka.</w:t>
      </w:r>
    </w:p>
    <w:p w:rsidR="00EC7744" w:rsidRPr="00683075" w:rsidRDefault="00820B6E" w:rsidP="00683075">
      <w:r w:rsidRPr="00683075">
        <w:t>Výrazne nižšia kumulácia spravovaných aktív</w:t>
      </w:r>
      <w:r w:rsidR="00BF0E04" w:rsidRPr="00683075">
        <w:t xml:space="preserve"> </w:t>
      </w:r>
      <w:r w:rsidRPr="00683075">
        <w:t>charakterizovala aj dôchodkové sporenie</w:t>
      </w:r>
      <w:r w:rsidR="003E557A">
        <w:t xml:space="preserve"> v </w:t>
      </w:r>
      <w:r w:rsidRPr="00683075">
        <w:t>treťom</w:t>
      </w:r>
      <w:r w:rsidR="00BF0E04" w:rsidRPr="00683075">
        <w:t xml:space="preserve"> </w:t>
      </w:r>
      <w:r w:rsidRPr="00683075">
        <w:t>pilieri. Kým</w:t>
      </w:r>
      <w:r w:rsidR="003E557A">
        <w:t xml:space="preserve"> v </w:t>
      </w:r>
      <w:r w:rsidRPr="00683075">
        <w:t>roku 2012 zhodnotenie aktív</w:t>
      </w:r>
      <w:r w:rsidR="00BF0E04" w:rsidRPr="00683075">
        <w:t xml:space="preserve"> </w:t>
      </w:r>
      <w:r w:rsidRPr="00683075">
        <w:t>výraznou mierou podporilo rast čistej hodnoty</w:t>
      </w:r>
      <w:r w:rsidR="00BF0E04" w:rsidRPr="00683075">
        <w:t xml:space="preserve"> </w:t>
      </w:r>
      <w:r w:rsidRPr="00683075">
        <w:t>aktív</w:t>
      </w:r>
      <w:r w:rsidR="003E557A">
        <w:t xml:space="preserve"> v </w:t>
      </w:r>
      <w:r w:rsidRPr="00683075">
        <w:t>doplnkových dôchodkových fondoch,</w:t>
      </w:r>
      <w:r w:rsidR="003E557A">
        <w:t xml:space="preserve"> v </w:t>
      </w:r>
      <w:r w:rsidRPr="00683075">
        <w:t>sledovanom období bol príspevok výkonnosti</w:t>
      </w:r>
      <w:r w:rsidR="00BF0E04" w:rsidRPr="00683075">
        <w:t xml:space="preserve"> </w:t>
      </w:r>
      <w:r w:rsidRPr="00683075">
        <w:t>mierne záporný. Hoci menej priaznivý vývoj cien</w:t>
      </w:r>
      <w:r w:rsidR="00BF0E04" w:rsidRPr="00683075">
        <w:t xml:space="preserve"> </w:t>
      </w:r>
      <w:r w:rsidRPr="00683075">
        <w:t>aktív bol pri absencii iných zásadnejších faktorov</w:t>
      </w:r>
      <w:r w:rsidR="00BF0E04" w:rsidRPr="00683075">
        <w:t xml:space="preserve"> </w:t>
      </w:r>
      <w:r w:rsidRPr="00683075">
        <w:t>najviac citeľný práve</w:t>
      </w:r>
      <w:r w:rsidR="003E557A">
        <w:t xml:space="preserve"> v </w:t>
      </w:r>
      <w:r w:rsidRPr="00683075">
        <w:t>treťom pilieri dôchodkového</w:t>
      </w:r>
      <w:r w:rsidR="00BF0E04" w:rsidRPr="00683075">
        <w:t xml:space="preserve"> </w:t>
      </w:r>
      <w:r w:rsidRPr="00683075">
        <w:t>sporenia, jeho vplyv nebol úplne zanedbateľný</w:t>
      </w:r>
      <w:r w:rsidR="00BF0E04" w:rsidRPr="00683075">
        <w:t xml:space="preserve"> </w:t>
      </w:r>
      <w:r w:rsidRPr="00683075">
        <w:t>ani</w:t>
      </w:r>
      <w:r w:rsidR="003E557A">
        <w:t xml:space="preserve"> v </w:t>
      </w:r>
      <w:r w:rsidRPr="00683075">
        <w:t>ostatných sektoroch zameraných na</w:t>
      </w:r>
      <w:r w:rsidR="00BF0E04" w:rsidRPr="00683075">
        <w:t xml:space="preserve"> </w:t>
      </w:r>
      <w:r w:rsidRPr="00683075">
        <w:t>správu majetku klientov.</w:t>
      </w:r>
    </w:p>
    <w:p w:rsidR="00820B6E" w:rsidRPr="00683075" w:rsidRDefault="00820B6E" w:rsidP="00683075">
      <w:r w:rsidRPr="00683075">
        <w:t>Jedným</w:t>
      </w:r>
      <w:r w:rsidR="003E557A">
        <w:t xml:space="preserve"> z </w:t>
      </w:r>
      <w:r w:rsidRPr="00683075">
        <w:t>mála sektorov, ktoré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>2013 vykázali pomerne rýchly rast (8 %), bolo</w:t>
      </w:r>
      <w:r w:rsidR="00BF0E04" w:rsidRPr="00683075">
        <w:t xml:space="preserve"> </w:t>
      </w:r>
      <w:r w:rsidRPr="00683075">
        <w:t xml:space="preserve">kolektívne </w:t>
      </w:r>
      <w:r w:rsidRPr="00683075">
        <w:lastRenderedPageBreak/>
        <w:t>investovanie. Tak ako</w:t>
      </w:r>
      <w:r w:rsidR="003E557A">
        <w:t xml:space="preserve"> v </w:t>
      </w:r>
      <w:r w:rsidRPr="00683075">
        <w:t>roku 2012 dynamiku</w:t>
      </w:r>
      <w:r w:rsidR="00BF0E04" w:rsidRPr="00683075">
        <w:t xml:space="preserve"> </w:t>
      </w:r>
      <w:r w:rsidRPr="00683075">
        <w:t>sektoru dodávali primárne kladné čisté</w:t>
      </w:r>
      <w:r w:rsidR="00BF0E04" w:rsidRPr="00683075">
        <w:t xml:space="preserve"> </w:t>
      </w:r>
      <w:r w:rsidRPr="00683075">
        <w:t>predaje</w:t>
      </w:r>
      <w:r w:rsidR="003E557A">
        <w:t xml:space="preserve"> v </w:t>
      </w:r>
      <w:r w:rsidRPr="00683075">
        <w:t>rýchlo sa rozvíjajúcich kategóriách</w:t>
      </w:r>
      <w:r w:rsidR="00BF0E04" w:rsidRPr="00683075">
        <w:t xml:space="preserve"> </w:t>
      </w:r>
      <w:r w:rsidRPr="00683075">
        <w:t>špeciálnych podielových fondov.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Oživenie</w:t>
      </w:r>
      <w:r w:rsidR="003E557A">
        <w:t xml:space="preserve"> z </w:t>
      </w:r>
      <w:r w:rsidRPr="00683075">
        <w:t>pohľadu objemu aktív nastalo sektoroch</w:t>
      </w:r>
      <w:r w:rsidR="00BF0E04" w:rsidRPr="00683075">
        <w:t xml:space="preserve"> </w:t>
      </w:r>
      <w:r w:rsidRPr="00683075">
        <w:t>lízingu</w:t>
      </w:r>
      <w:r w:rsidR="003E557A">
        <w:t xml:space="preserve"> a </w:t>
      </w:r>
      <w:r w:rsidRPr="00683075">
        <w:t>splátkového predaja.</w:t>
      </w:r>
      <w:r w:rsidR="003E557A">
        <w:t xml:space="preserve"> v </w:t>
      </w:r>
      <w:r w:rsidRPr="00683075">
        <w:t>obidvoch</w:t>
      </w:r>
      <w:r w:rsidR="00BF0E04" w:rsidRPr="00683075">
        <w:t xml:space="preserve"> </w:t>
      </w:r>
      <w:r w:rsidRPr="00683075">
        <w:t>prípadoch sa však rast nerealizoval</w:t>
      </w:r>
      <w:r w:rsidR="003E557A">
        <w:t xml:space="preserve"> v </w:t>
      </w:r>
      <w:r w:rsidRPr="00683075">
        <w:t>doterajších</w:t>
      </w:r>
      <w:r w:rsidR="00A52365" w:rsidRPr="00683075">
        <w:t xml:space="preserve"> </w:t>
      </w:r>
      <w:r w:rsidRPr="00683075">
        <w:t>ťažiskových segmentoch príslušných sektorov,</w:t>
      </w:r>
      <w:r w:rsidR="00BF0E04" w:rsidRPr="00683075">
        <w:t xml:space="preserve"> </w:t>
      </w:r>
      <w:r w:rsidRPr="00683075">
        <w:t>ale vyplynul zo zvýšenej orientácie na nový typ</w:t>
      </w:r>
      <w:r w:rsidR="00BF0E04" w:rsidRPr="00683075">
        <w:t xml:space="preserve"> </w:t>
      </w:r>
      <w:r w:rsidRPr="00683075">
        <w:t>klientov. Nastala paradoxná situácia, keď spoločnosti</w:t>
      </w:r>
      <w:r w:rsidR="00BF0E04" w:rsidRPr="00683075">
        <w:t xml:space="preserve"> </w:t>
      </w:r>
      <w:r w:rsidRPr="00683075">
        <w:t>splátkového predaja napredovali cez úvery</w:t>
      </w:r>
      <w:r w:rsidR="00BF0E04" w:rsidRPr="00683075">
        <w:t xml:space="preserve"> </w:t>
      </w:r>
      <w:r w:rsidRPr="00683075">
        <w:t>poskytnuté podnikom</w:t>
      </w:r>
      <w:r w:rsidR="003E557A">
        <w:t xml:space="preserve"> v </w:t>
      </w:r>
      <w:r w:rsidRPr="00683075">
        <w:t>zahraničí,</w:t>
      </w:r>
      <w:r w:rsidR="003E557A">
        <w:t xml:space="preserve"> a </w:t>
      </w:r>
      <w:r w:rsidRPr="00683075">
        <w:t>naopak, lízingové</w:t>
      </w:r>
      <w:r w:rsidR="00BF0E04" w:rsidRPr="00683075">
        <w:t xml:space="preserve"> </w:t>
      </w:r>
      <w:r w:rsidRPr="00683075">
        <w:t>spoločnosti sa presadzovali cez financovanie</w:t>
      </w:r>
      <w:r w:rsidR="00BF0E04" w:rsidRPr="00683075">
        <w:t xml:space="preserve"> </w:t>
      </w:r>
      <w:r w:rsidRPr="00683075">
        <w:t>domácností.</w:t>
      </w:r>
    </w:p>
    <w:p w:rsidR="00EC7744" w:rsidRPr="00683075" w:rsidRDefault="00820B6E" w:rsidP="00D77337">
      <w:pPr>
        <w:pStyle w:val="zvyraznene"/>
      </w:pPr>
      <w:r w:rsidRPr="00683075">
        <w:t>Ziskovosť vo finančnom sektore</w:t>
      </w:r>
    </w:p>
    <w:p w:rsidR="00EC7744" w:rsidRPr="00683075" w:rsidRDefault="00820B6E" w:rsidP="00683075">
      <w:r w:rsidRPr="00683075">
        <w:t>Napriek tomu, že objem aktív</w:t>
      </w:r>
      <w:r w:rsidR="003E557A">
        <w:t xml:space="preserve"> v </w:t>
      </w:r>
      <w:r w:rsidRPr="00683075">
        <w:t>jednotlivých</w:t>
      </w:r>
      <w:r w:rsidR="00BF0E04" w:rsidRPr="00683075">
        <w:t xml:space="preserve"> </w:t>
      </w:r>
      <w:r w:rsidRPr="00683075">
        <w:t>sektoroch slovenského finančného trhu rástol</w:t>
      </w:r>
      <w:r w:rsidR="00BF0E04" w:rsidRPr="00683075">
        <w:t xml:space="preserve"> </w:t>
      </w:r>
      <w:r w:rsidRPr="00683075">
        <w:t>pomalšie ako</w:t>
      </w:r>
      <w:r w:rsidR="003E557A">
        <w:t xml:space="preserve"> v </w:t>
      </w:r>
      <w:r w:rsidRPr="00683075">
        <w:t>roku 2012, tvorba zisku nebola</w:t>
      </w:r>
      <w:r w:rsidR="003E557A">
        <w:t xml:space="preserve"> v </w:t>
      </w:r>
      <w:r w:rsidRPr="00683075">
        <w:t>medziročnom porovnaní negatívne zasiahnutá.</w:t>
      </w:r>
      <w:r w:rsidR="00BF0E04" w:rsidRPr="00683075">
        <w:t xml:space="preserve"> </w:t>
      </w:r>
      <w:r w:rsidRPr="00683075">
        <w:t>Banky, poisťovne</w:t>
      </w:r>
      <w:r w:rsidR="003E557A">
        <w:t xml:space="preserve"> a </w:t>
      </w:r>
      <w:r w:rsidRPr="00683075">
        <w:t>správcovské spoločnosti</w:t>
      </w:r>
      <w:r w:rsidR="00BF0E04" w:rsidRPr="00683075">
        <w:t xml:space="preserve"> </w:t>
      </w:r>
      <w:r w:rsidRPr="00683075">
        <w:t>kolektívneho investovania dosiahli za prvých</w:t>
      </w:r>
      <w:r w:rsidR="00BF0E04" w:rsidRPr="00683075">
        <w:t xml:space="preserve"> </w:t>
      </w:r>
      <w:r w:rsidRPr="00683075">
        <w:t>šesť mesiacov roka 2013 ziskovosť vyjadrenú</w:t>
      </w:r>
      <w:r w:rsidR="00BF0E04" w:rsidRPr="00683075">
        <w:t xml:space="preserve"> </w:t>
      </w:r>
      <w:r w:rsidRPr="00683075">
        <w:t>ROE porovnateľnú</w:t>
      </w:r>
      <w:r w:rsidR="003E557A">
        <w:t xml:space="preserve"> s </w:t>
      </w:r>
      <w:r w:rsidRPr="00683075">
        <w:t>prvým polrokom 2012. Zisk</w:t>
      </w:r>
      <w:r w:rsidR="00BF0E04" w:rsidRPr="00683075">
        <w:t xml:space="preserve"> </w:t>
      </w:r>
      <w:r w:rsidRPr="00683075">
        <w:t>správcovských spoločností</w:t>
      </w:r>
      <w:r w:rsidR="003E557A">
        <w:t xml:space="preserve"> v </w:t>
      </w:r>
      <w:r w:rsidRPr="00683075">
        <w:t>oboch pilieroch dôchodkového</w:t>
      </w:r>
      <w:r w:rsidR="00BF0E04" w:rsidRPr="00683075">
        <w:t xml:space="preserve"> </w:t>
      </w:r>
      <w:r w:rsidRPr="00683075">
        <w:t>sporenia dokonca vzrástol zhruba</w:t>
      </w:r>
      <w:r w:rsidR="00BF0E04" w:rsidRPr="00683075">
        <w:t xml:space="preserve"> </w:t>
      </w:r>
      <w:r w:rsidRPr="00683075">
        <w:t>o tretinu. Podrobné vysvetlenie je</w:t>
      </w:r>
      <w:r w:rsidR="003E557A">
        <w:t xml:space="preserve"> v </w:t>
      </w:r>
      <w:r w:rsidRPr="00683075">
        <w:t>časti 2.3 Dôchodkové</w:t>
      </w:r>
      <w:r w:rsidR="00BF0E04" w:rsidRPr="00683075">
        <w:t xml:space="preserve"> </w:t>
      </w:r>
      <w:r w:rsidRPr="00683075">
        <w:t>sporenie.</w:t>
      </w:r>
    </w:p>
    <w:p w:rsidR="00EC7744" w:rsidRPr="00683075" w:rsidRDefault="00820B6E" w:rsidP="00D77337">
      <w:pPr>
        <w:pStyle w:val="zvyraznene"/>
      </w:pPr>
      <w:r w:rsidRPr="00683075">
        <w:t>Sebestačnosť bankového sektora sa potvrdila aj</w:t>
      </w:r>
      <w:r w:rsidR="003E557A">
        <w:t xml:space="preserve"> v </w:t>
      </w:r>
      <w:r w:rsidRPr="00683075">
        <w:t>prvom polroku 2013</w:t>
      </w:r>
    </w:p>
    <w:p w:rsidR="00820B6E" w:rsidRPr="00683075" w:rsidRDefault="00820B6E" w:rsidP="00683075">
      <w:r w:rsidRPr="00683075">
        <w:t>V kontexte pretrvávajúcej vysokej miery využívania</w:t>
      </w:r>
      <w:r w:rsidR="00BF0E04" w:rsidRPr="00683075">
        <w:t xml:space="preserve"> </w:t>
      </w:r>
      <w:r w:rsidRPr="00683075">
        <w:t>likvidity poskytovanej ECB viacerými európskymi</w:t>
      </w:r>
      <w:r w:rsidR="00BF0E04" w:rsidRPr="00683075">
        <w:t xml:space="preserve"> </w:t>
      </w:r>
      <w:r w:rsidRPr="00683075">
        <w:t>bankovými skupinami je pozitívne, že</w:t>
      </w:r>
      <w:r w:rsidR="00BF0E04" w:rsidRPr="00683075">
        <w:t xml:space="preserve"> </w:t>
      </w:r>
      <w:r w:rsidRPr="00683075">
        <w:t>domáce banky</w:t>
      </w:r>
      <w:r w:rsidR="003E557A">
        <w:t xml:space="preserve"> v </w:t>
      </w:r>
      <w:r w:rsidRPr="00683075">
        <w:t>prvom polroku minimalizovali</w:t>
      </w:r>
      <w:r w:rsidR="00BF0E04" w:rsidRPr="00683075">
        <w:t xml:space="preserve"> </w:t>
      </w:r>
      <w:r w:rsidRPr="00683075">
        <w:t>svoju čistú pozíciu voči Eurosystému.</w:t>
      </w:r>
      <w:r w:rsidR="003E557A">
        <w:t xml:space="preserve"> s </w:t>
      </w:r>
      <w:r w:rsidRPr="00683075">
        <w:t>touto</w:t>
      </w:r>
      <w:r w:rsidR="00BF0E04" w:rsidRPr="00683075">
        <w:t xml:space="preserve"> </w:t>
      </w:r>
      <w:r w:rsidRPr="00683075">
        <w:t>zmenou súvisel aj pokles likvidných prostriedkov,</w:t>
      </w:r>
      <w:r w:rsidR="00BF0E04" w:rsidRPr="00683075">
        <w:t xml:space="preserve"> </w:t>
      </w:r>
      <w:r w:rsidRPr="00683075">
        <w:t>ktoré domáce banky požičali svojím materským</w:t>
      </w:r>
      <w:r w:rsidR="00BF0E04" w:rsidRPr="00683075">
        <w:t xml:space="preserve"> </w:t>
      </w:r>
      <w:r w:rsidRPr="00683075">
        <w:t>skupinám (popísané</w:t>
      </w:r>
      <w:r w:rsidR="003E557A">
        <w:t xml:space="preserve"> v </w:t>
      </w:r>
      <w:r w:rsidRPr="00683075">
        <w:t>časti Medzibankový</w:t>
      </w:r>
      <w:r w:rsidR="00BF0E04" w:rsidRPr="00683075">
        <w:t xml:space="preserve"> </w:t>
      </w:r>
      <w:r w:rsidRPr="00683075">
        <w:t>trh). Aj napriek tomu ostal slovenský bankový</w:t>
      </w:r>
      <w:r w:rsidR="00BF0E04" w:rsidRPr="00683075">
        <w:t xml:space="preserve"> </w:t>
      </w:r>
      <w:r w:rsidRPr="00683075">
        <w:t>sektor</w:t>
      </w:r>
      <w:r w:rsidR="003E557A">
        <w:t xml:space="preserve"> v </w:t>
      </w:r>
      <w:r w:rsidRPr="00683075">
        <w:t>pozícii čistého veriteľa voči vlastným</w:t>
      </w:r>
      <w:r w:rsidR="00BF0E04" w:rsidRPr="00683075">
        <w:t xml:space="preserve"> </w:t>
      </w:r>
      <w:r w:rsidRPr="00683075">
        <w:t>skupinám.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Spomalenie rastu finančných aktív domácností</w:t>
      </w:r>
    </w:p>
    <w:p w:rsidR="00820B6E" w:rsidRPr="00683075" w:rsidRDefault="00820B6E" w:rsidP="00683075">
      <w:r w:rsidRPr="00683075">
        <w:t>Vývoj aktív</w:t>
      </w:r>
      <w:r w:rsidR="003E557A">
        <w:t xml:space="preserve"> v </w:t>
      </w:r>
      <w:r w:rsidRPr="00683075">
        <w:t>jednotlivých sektoroch finančného</w:t>
      </w:r>
      <w:r w:rsidR="00BF0E04" w:rsidRPr="00683075">
        <w:t xml:space="preserve"> </w:t>
      </w:r>
      <w:r w:rsidRPr="00683075">
        <w:t>trhu nezakladá predpoklady na rýchly</w:t>
      </w:r>
      <w:r w:rsidR="00BF0E04" w:rsidRPr="00683075">
        <w:t xml:space="preserve"> </w:t>
      </w:r>
      <w:r w:rsidRPr="00683075">
        <w:t>rast finančných aktív domácností. Išlo predovšetkým o pokles aktív</w:t>
      </w:r>
      <w:r w:rsidR="003E557A">
        <w:t xml:space="preserve"> v </w:t>
      </w:r>
      <w:r w:rsidRPr="00683075">
        <w:t>dôchodkových fondoch</w:t>
      </w:r>
      <w:r w:rsidR="003E557A">
        <w:t xml:space="preserve"> z </w:t>
      </w:r>
      <w:r w:rsidRPr="00683075">
        <w:t>dôvodu štrukturálnych zmien, ktorý</w:t>
      </w:r>
      <w:r w:rsidR="00BF0E04" w:rsidRPr="00683075">
        <w:t xml:space="preserve"> </w:t>
      </w:r>
      <w:r w:rsidRPr="00683075">
        <w:t>najviac vplýval na spomalenie rastu celkových</w:t>
      </w:r>
      <w:r w:rsidR="00BF0E04" w:rsidRPr="00683075">
        <w:t xml:space="preserve"> </w:t>
      </w:r>
      <w:r w:rsidRPr="00683075">
        <w:t>finančných aktív domácností (popísané</w:t>
      </w:r>
      <w:r w:rsidR="003E557A">
        <w:t xml:space="preserve"> v </w:t>
      </w:r>
      <w:r w:rsidRPr="00683075">
        <w:t>časti</w:t>
      </w:r>
      <w:r w:rsidR="00BF0E04" w:rsidRPr="00683075">
        <w:t xml:space="preserve"> </w:t>
      </w:r>
      <w:r w:rsidRPr="00683075">
        <w:t>Dôchodkové sporenie).</w:t>
      </w:r>
      <w:r w:rsidR="003E557A">
        <w:t xml:space="preserve"> k </w:t>
      </w:r>
      <w:r w:rsidRPr="00683075">
        <w:t>spomaleniu dynamiky</w:t>
      </w:r>
      <w:r w:rsidR="00BF0E04" w:rsidRPr="00683075">
        <w:t xml:space="preserve"> </w:t>
      </w:r>
      <w:r w:rsidRPr="00683075">
        <w:t>celkových finančných aktív domácností</w:t>
      </w:r>
      <w:r w:rsidR="00BF0E04" w:rsidRPr="00683075">
        <w:t xml:space="preserve"> </w:t>
      </w:r>
      <w:r w:rsidRPr="00683075">
        <w:t>prispel aj slabý rast životného poistenia najmä</w:t>
      </w:r>
      <w:r w:rsidR="003E557A">
        <w:t xml:space="preserve"> v </w:t>
      </w:r>
      <w:proofErr w:type="spellStart"/>
      <w:r w:rsidRPr="00683075">
        <w:t>unit-linked</w:t>
      </w:r>
      <w:proofErr w:type="spellEnd"/>
      <w:r w:rsidRPr="00683075">
        <w:t xml:space="preserve"> produktoch (popísané</w:t>
      </w:r>
      <w:r w:rsidR="003E557A">
        <w:t xml:space="preserve"> v </w:t>
      </w:r>
      <w:r w:rsidRPr="00683075">
        <w:t>časti Poistný</w:t>
      </w:r>
      <w:r w:rsidR="00BF0E04" w:rsidRPr="00683075">
        <w:t xml:space="preserve"> </w:t>
      </w:r>
      <w:r w:rsidRPr="00683075">
        <w:t>sektor). Za neutrálne zmeny možno považovať</w:t>
      </w:r>
      <w:r w:rsidR="00BF0E04" w:rsidRPr="00683075">
        <w:t xml:space="preserve"> </w:t>
      </w:r>
      <w:r w:rsidRPr="00683075">
        <w:t>presun časti bankových vkladov so splatnosťou</w:t>
      </w:r>
      <w:r w:rsidR="00BF0E04" w:rsidRPr="00683075">
        <w:t xml:space="preserve"> </w:t>
      </w:r>
      <w:r w:rsidRPr="00683075">
        <w:t>od 2 do 5 rokov do fondov kolektívneho</w:t>
      </w:r>
      <w:r w:rsidR="00BF0E04" w:rsidRPr="00683075">
        <w:t xml:space="preserve"> </w:t>
      </w:r>
      <w:r w:rsidRPr="00683075">
        <w:t>investovania.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Uvedené zmeny mali však len relatívne malý</w:t>
      </w:r>
      <w:r w:rsidR="00BF0E04" w:rsidRPr="00683075">
        <w:t xml:space="preserve"> </w:t>
      </w:r>
      <w:r w:rsidRPr="00683075">
        <w:t>vplyv na celkovú štruktúru finančných aktív domácností,</w:t>
      </w:r>
      <w:r w:rsidR="003E557A">
        <w:t xml:space="preserve"> v </w:t>
      </w:r>
      <w:r w:rsidRPr="00683075">
        <w:t>ktorej už dlhodobo dominujú bankové</w:t>
      </w:r>
      <w:r w:rsidR="00BF0E04" w:rsidRPr="00683075">
        <w:t xml:space="preserve"> </w:t>
      </w:r>
      <w:r w:rsidRPr="00683075">
        <w:t>vklady (cca 62 %).</w:t>
      </w:r>
      <w:r w:rsidR="003E557A">
        <w:t xml:space="preserve"> z </w:t>
      </w:r>
      <w:r w:rsidRPr="00683075">
        <w:t>hľadiska stability úspor</w:t>
      </w:r>
      <w:r w:rsidR="00BF0E04" w:rsidRPr="00683075">
        <w:t xml:space="preserve"> </w:t>
      </w:r>
      <w:r w:rsidRPr="00683075">
        <w:t>domácností je to pozitívne,</w:t>
      </w:r>
      <w:r w:rsidR="003E557A">
        <w:t xml:space="preserve"> a </w:t>
      </w:r>
      <w:r w:rsidRPr="00683075">
        <w:t>to aj</w:t>
      </w:r>
      <w:r w:rsidR="003E557A">
        <w:t xml:space="preserve"> v </w:t>
      </w:r>
      <w:r w:rsidRPr="00683075">
        <w:t>kontexte</w:t>
      </w:r>
      <w:r w:rsidR="00BF0E04" w:rsidRPr="00683075">
        <w:t xml:space="preserve"> </w:t>
      </w:r>
      <w:r w:rsidRPr="00683075">
        <w:t>dlhodobej výnosovosti. Kumulatívne zhodnotenie</w:t>
      </w:r>
      <w:r w:rsidR="00BF0E04" w:rsidRPr="00683075">
        <w:t xml:space="preserve"> </w:t>
      </w:r>
      <w:r w:rsidRPr="00683075">
        <w:t>termínovaných vkladov</w:t>
      </w:r>
      <w:r w:rsidR="003E557A">
        <w:t xml:space="preserve"> v </w:t>
      </w:r>
      <w:r w:rsidRPr="00683075">
        <w:t>bankách za posledných</w:t>
      </w:r>
      <w:r w:rsidR="00BF0E04" w:rsidRPr="00683075">
        <w:t xml:space="preserve"> </w:t>
      </w:r>
      <w:r w:rsidRPr="00683075">
        <w:t>7 rokov patrí medzi najvyššie spomedzi</w:t>
      </w:r>
      <w:r w:rsidR="00BF0E04" w:rsidRPr="00683075">
        <w:t xml:space="preserve"> </w:t>
      </w:r>
      <w:r w:rsidRPr="00683075">
        <w:t>všetkých produktov na finančnom trhu.</w:t>
      </w:r>
    </w:p>
    <w:p w:rsidR="00EC7744" w:rsidRPr="00683075" w:rsidRDefault="00820B6E" w:rsidP="00683075">
      <w:r w:rsidRPr="00683075">
        <w:lastRenderedPageBreak/>
        <w:t>V porovnaní</w:t>
      </w:r>
      <w:r w:rsidR="003E557A">
        <w:t xml:space="preserve"> s </w:t>
      </w:r>
      <w:r w:rsidRPr="00683075">
        <w:t>decembrom 2012 sa počas prvých</w:t>
      </w:r>
      <w:r w:rsidR="00BF0E04" w:rsidRPr="00683075">
        <w:t xml:space="preserve"> </w:t>
      </w:r>
      <w:r w:rsidRPr="00683075">
        <w:t>šiestich mesiacov roka 2013 znížila výkonnosť</w:t>
      </w:r>
      <w:r w:rsidR="00BF0E04" w:rsidRPr="00683075">
        <w:t xml:space="preserve"> </w:t>
      </w:r>
      <w:r w:rsidRPr="00683075">
        <w:t>všetkých hlavných agregátov finančných aktív</w:t>
      </w:r>
      <w:r w:rsidR="00BF0E04" w:rsidRPr="00683075">
        <w:t xml:space="preserve"> </w:t>
      </w:r>
      <w:r w:rsidRPr="00683075">
        <w:t>domácností. Na druhej strane však poklesla aj</w:t>
      </w:r>
      <w:r w:rsidR="00BF0E04" w:rsidRPr="00683075">
        <w:t xml:space="preserve"> </w:t>
      </w:r>
      <w:r w:rsidRPr="00683075">
        <w:t>miera inflácie, čím sa reálne zhodnotenie</w:t>
      </w:r>
      <w:r w:rsidR="003E557A">
        <w:t xml:space="preserve"> z </w:t>
      </w:r>
      <w:r w:rsidRPr="00683075">
        <w:t>pohľadu</w:t>
      </w:r>
      <w:r w:rsidR="00BF0E04" w:rsidRPr="00683075">
        <w:t xml:space="preserve"> </w:t>
      </w:r>
      <w:r w:rsidRPr="00683075">
        <w:t>domácností zlepšilo.</w:t>
      </w:r>
      <w:r w:rsidR="00BF0E04" w:rsidRPr="00683075">
        <w:t xml:space="preserve"> </w:t>
      </w:r>
    </w:p>
    <w:p w:rsidR="00EC7744" w:rsidRPr="00683075" w:rsidRDefault="00820B6E" w:rsidP="0002424C">
      <w:pPr>
        <w:pStyle w:val="Nadpis2"/>
      </w:pPr>
      <w:bookmarkStart w:id="6" w:name="_Toc376206540"/>
      <w:r w:rsidRPr="00683075">
        <w:t>Bankový sektor</w:t>
      </w:r>
      <w:bookmarkEnd w:id="6"/>
    </w:p>
    <w:p w:rsidR="00EC7744" w:rsidRPr="00683075" w:rsidRDefault="00820B6E" w:rsidP="0002424C">
      <w:pPr>
        <w:pStyle w:val="Nadpis3"/>
      </w:pPr>
      <w:bookmarkStart w:id="7" w:name="_Toc376206541"/>
      <w:r w:rsidRPr="00683075">
        <w:t>Trendy</w:t>
      </w:r>
      <w:r w:rsidR="003E557A">
        <w:t xml:space="preserve"> v </w:t>
      </w:r>
      <w:r w:rsidRPr="00683075">
        <w:t>bilancii bankového sektora</w:t>
      </w:r>
      <w:bookmarkEnd w:id="7"/>
    </w:p>
    <w:p w:rsidR="00EC7744" w:rsidRPr="00683075" w:rsidRDefault="00820B6E" w:rsidP="00683075">
      <w:r w:rsidRPr="00683075">
        <w:t xml:space="preserve">Úvery poskytnuté sektoru </w:t>
      </w:r>
      <w:proofErr w:type="spellStart"/>
      <w:r w:rsidRPr="00683075">
        <w:t>retailu</w:t>
      </w:r>
      <w:proofErr w:type="spellEnd"/>
      <w:r w:rsidRPr="00683075">
        <w:t xml:space="preserve"> pokračovali</w:t>
      </w:r>
      <w:r w:rsidR="003E557A">
        <w:t xml:space="preserve"> v </w:t>
      </w:r>
      <w:r w:rsidRPr="00683075">
        <w:t>raste aj počas prvého polroka 2013, najmä zásluhou</w:t>
      </w:r>
      <w:r w:rsidR="00BF0E04" w:rsidRPr="00683075">
        <w:t xml:space="preserve"> </w:t>
      </w:r>
      <w:r w:rsidRPr="00683075">
        <w:t>rastu úverov na bývanie. Medziročná dynamika vykazovala mierne zlepšenie počas celého</w:t>
      </w:r>
      <w:r w:rsidR="00BF0E04" w:rsidRPr="00683075">
        <w:t xml:space="preserve"> </w:t>
      </w:r>
      <w:r w:rsidRPr="00683075">
        <w:t>sledovaného obdobia.</w:t>
      </w:r>
      <w:r w:rsidR="003E557A">
        <w:t xml:space="preserve"> v </w:t>
      </w:r>
      <w:r w:rsidRPr="00683075">
        <w:t>prvom polroku je možné hovoriť aj o zvýšenom konkurenčnom boji medzi</w:t>
      </w:r>
      <w:r w:rsidR="00BF0E04" w:rsidRPr="00683075">
        <w:t xml:space="preserve"> </w:t>
      </w:r>
      <w:r w:rsidRPr="00683075">
        <w:t>bankami. Kým dopyt po úveroch mohol byť podporený aj pokračujúcim stabilným vývojom cien</w:t>
      </w:r>
      <w:r w:rsidR="00BF0E04" w:rsidRPr="00683075">
        <w:t xml:space="preserve"> </w:t>
      </w:r>
      <w:r w:rsidRPr="00683075">
        <w:t>nehnuteľností, vybrané stredne veľké</w:t>
      </w:r>
      <w:r w:rsidR="003E557A">
        <w:t xml:space="preserve"> a </w:t>
      </w:r>
      <w:r w:rsidRPr="00683075">
        <w:t>menšie banky dokázali zvýšiť svoj podiel na nových úveroch</w:t>
      </w:r>
      <w:r w:rsidR="00BF0E04" w:rsidRPr="00683075">
        <w:t xml:space="preserve"> </w:t>
      </w:r>
      <w:r w:rsidRPr="00683075">
        <w:t>najmä pomocou svojej úrokovej politiky, dôsledkom čoho dosiahli úrokové sadzby svoje nové</w:t>
      </w:r>
      <w:r w:rsidR="00BF0E04" w:rsidRPr="00683075">
        <w:t xml:space="preserve"> </w:t>
      </w:r>
      <w:r w:rsidRPr="00683075">
        <w:t>historické minimá. Vývoj objemu nových úverov bol do istej miery ovplyvnený aj refinancovaním už</w:t>
      </w:r>
      <w:r w:rsidR="00BF0E04" w:rsidRPr="00683075">
        <w:t xml:space="preserve"> </w:t>
      </w:r>
      <w:r w:rsidRPr="00683075">
        <w:t>existujúcich úverov.</w:t>
      </w:r>
    </w:p>
    <w:p w:rsidR="00EC7744" w:rsidRPr="00683075" w:rsidRDefault="00820B6E" w:rsidP="00683075">
      <w:r w:rsidRPr="00683075">
        <w:t xml:space="preserve">Rast </w:t>
      </w:r>
      <w:proofErr w:type="spellStart"/>
      <w:r w:rsidRPr="00683075">
        <w:t>retailových</w:t>
      </w:r>
      <w:proofErr w:type="spellEnd"/>
      <w:r w:rsidRPr="00683075">
        <w:t xml:space="preserve"> vkladov sa</w:t>
      </w:r>
      <w:r w:rsidR="003E557A">
        <w:t xml:space="preserve"> v </w:t>
      </w:r>
      <w:r w:rsidRPr="00683075">
        <w:t>priebehu prvého polroka spomalil. Naďalej pretrvával trend presunu</w:t>
      </w:r>
      <w:r w:rsidR="00BF0E04" w:rsidRPr="00683075">
        <w:t xml:space="preserve"> </w:t>
      </w:r>
      <w:r w:rsidRPr="00683075">
        <w:t>prostriedkov</w:t>
      </w:r>
      <w:r w:rsidR="003E557A">
        <w:t xml:space="preserve"> z </w:t>
      </w:r>
      <w:r w:rsidRPr="00683075">
        <w:t>termínovaných vkladov na netermínované vklady, denné termínované vklady</w:t>
      </w:r>
      <w:r w:rsidR="003E557A">
        <w:t xml:space="preserve"> a </w:t>
      </w:r>
      <w:r w:rsidRPr="00683075">
        <w:t>vklady</w:t>
      </w:r>
      <w:r w:rsidR="003E557A">
        <w:t xml:space="preserve"> s </w:t>
      </w:r>
      <w:r w:rsidRPr="00683075">
        <w:t>výpovednou lehotou, pravdepodobne najmä</w:t>
      </w:r>
      <w:r w:rsidR="003E557A">
        <w:t xml:space="preserve"> z </w:t>
      </w:r>
      <w:r w:rsidRPr="00683075">
        <w:t>dôvodu nízkeho úročenia týchto vkladov. Do istej</w:t>
      </w:r>
      <w:r w:rsidR="00BF0E04" w:rsidRPr="00683075">
        <w:t xml:space="preserve"> </w:t>
      </w:r>
      <w:r w:rsidRPr="00683075">
        <w:t>miery sa presúvali prostriedky naakumulované na účtoch bánk aj do podielových fondov kolektívneho</w:t>
      </w:r>
      <w:r w:rsidR="00BF0E04" w:rsidRPr="00683075">
        <w:t xml:space="preserve"> </w:t>
      </w:r>
      <w:r w:rsidRPr="00683075">
        <w:t>investovania.</w:t>
      </w:r>
    </w:p>
    <w:p w:rsidR="00EC7744" w:rsidRPr="00683075" w:rsidRDefault="00820B6E" w:rsidP="00683075">
      <w:r w:rsidRPr="00683075">
        <w:t>V dôsledku nepresvedčivého makroekonomického vývoja na Slovensku</w:t>
      </w:r>
      <w:r w:rsidR="003E557A">
        <w:t xml:space="preserve"> a v </w:t>
      </w:r>
      <w:r w:rsidRPr="00683075">
        <w:t>eurozóne sa charakter</w:t>
      </w:r>
      <w:r w:rsidR="00BF0E04" w:rsidRPr="00683075">
        <w:t xml:space="preserve"> </w:t>
      </w:r>
      <w:r w:rsidRPr="00683075">
        <w:t>trhu úverov podnikom počas prvého polroka výraznejšie nemenil. Pokračoval pokles celkového</w:t>
      </w:r>
      <w:r w:rsidR="00BF0E04" w:rsidRPr="00683075">
        <w:t xml:space="preserve"> </w:t>
      </w:r>
      <w:r w:rsidRPr="00683075">
        <w:t>objemu úverov podnikom, za posledných 20 mesiacov poklesli úvery celkovo o 7,6 %, čo je viac ako</w:t>
      </w:r>
      <w:r w:rsidR="00BF0E04" w:rsidRPr="00683075">
        <w:t xml:space="preserve"> </w:t>
      </w:r>
      <w:r w:rsidRPr="00683075">
        <w:t>za prvých 20 mesiacov krízy</w:t>
      </w:r>
      <w:r w:rsidR="003E557A">
        <w:t xml:space="preserve"> v </w:t>
      </w:r>
      <w:r w:rsidRPr="00683075">
        <w:t>rokoch 2008</w:t>
      </w:r>
      <w:r w:rsidR="003E557A">
        <w:t xml:space="preserve"> a </w:t>
      </w:r>
      <w:r w:rsidRPr="00683075">
        <w:t>2009. Pokles mal skôr plošný charakter, zaznamenala ho</w:t>
      </w:r>
      <w:r w:rsidR="00BF0E04" w:rsidRPr="00683075">
        <w:t xml:space="preserve"> </w:t>
      </w:r>
      <w:r w:rsidRPr="00683075">
        <w:t>väčšina odvetví aj bánk. Popri slabnutí dopytu po úveroch pokračoval aj trend mierneho sprísňovania</w:t>
      </w:r>
      <w:r w:rsidR="00BF0E04" w:rsidRPr="00683075">
        <w:t xml:space="preserve"> </w:t>
      </w:r>
      <w:r w:rsidRPr="00683075">
        <w:t>úverových štandardov, ktorý sa prejavil najmä</w:t>
      </w:r>
      <w:r w:rsidR="003E557A">
        <w:t xml:space="preserve"> v </w:t>
      </w:r>
      <w:r w:rsidRPr="00683075">
        <w:t>raste marží pri malých úveroch. Marže pre stredne veľké</w:t>
      </w:r>
      <w:r w:rsidR="003E557A">
        <w:t xml:space="preserve"> a </w:t>
      </w:r>
      <w:r w:rsidRPr="00683075">
        <w:t>najväčšie úvery sa vyvíjali stabilne.</w:t>
      </w:r>
    </w:p>
    <w:p w:rsidR="00EC7744" w:rsidRPr="00683075" w:rsidRDefault="00820B6E" w:rsidP="00683075">
      <w:r w:rsidRPr="00683075">
        <w:t>V portfóliu cenných papierov sa</w:t>
      </w:r>
      <w:r w:rsidR="003E557A">
        <w:t xml:space="preserve"> z </w:t>
      </w:r>
      <w:r w:rsidRPr="00683075">
        <w:t>pohľadu sektora ako celku počas prvého polroka 2013 neudiali</w:t>
      </w:r>
      <w:r w:rsidR="00BF0E04" w:rsidRPr="00683075">
        <w:t xml:space="preserve"> </w:t>
      </w:r>
      <w:r w:rsidRPr="00683075">
        <w:t>výraznejšie zmeny. Slovenské štátne dlhopisy</w:t>
      </w:r>
      <w:r w:rsidR="003E557A">
        <w:t xml:space="preserve"> a </w:t>
      </w:r>
      <w:r w:rsidRPr="00683075">
        <w:t>pokladničné poukážky si zachovali svoje dominantné</w:t>
      </w:r>
      <w:r w:rsidR="00BF0E04" w:rsidRPr="00683075">
        <w:t xml:space="preserve"> </w:t>
      </w:r>
      <w:r w:rsidRPr="00683075">
        <w:t>postavenie. Banky aj počas sledovaného obdobia emitovali najmä hypotekárne záložné listy, pričom</w:t>
      </w:r>
      <w:r w:rsidR="00BF0E04" w:rsidRPr="00683075">
        <w:t xml:space="preserve"> </w:t>
      </w:r>
      <w:r w:rsidRPr="00683075">
        <w:t>zrejme pod vplyvom nízkych výnosov slovenských štátnych dlhopisov dominovali emisie</w:t>
      </w:r>
      <w:r w:rsidR="003E557A">
        <w:t xml:space="preserve"> s </w:t>
      </w:r>
      <w:r w:rsidRPr="00683075">
        <w:t>fixným</w:t>
      </w:r>
      <w:r w:rsidR="00BF0E04" w:rsidRPr="00683075">
        <w:t xml:space="preserve"> </w:t>
      </w:r>
      <w:r w:rsidRPr="00683075">
        <w:t>kupónom.</w:t>
      </w:r>
    </w:p>
    <w:p w:rsidR="00EC7744" w:rsidRPr="00683075" w:rsidRDefault="00820B6E" w:rsidP="00683075">
      <w:r w:rsidRPr="00683075">
        <w:t>Vývoj</w:t>
      </w:r>
      <w:r w:rsidR="003E557A">
        <w:t xml:space="preserve"> a </w:t>
      </w:r>
      <w:r w:rsidRPr="00683075">
        <w:t>štruktúra medzibankového trhu bola ovplyvnená najmä splatením veľkej časti</w:t>
      </w:r>
      <w:r w:rsidR="00BF0E04" w:rsidRPr="00683075">
        <w:t xml:space="preserve"> </w:t>
      </w:r>
      <w:r w:rsidRPr="00683075">
        <w:t>trojročných refinančných operácií</w:t>
      </w:r>
      <w:r w:rsidR="003E557A">
        <w:t xml:space="preserve"> s </w:t>
      </w:r>
      <w:r w:rsidRPr="00683075">
        <w:t>ECB na začiatku roka. Implikované úrokové sadzby na</w:t>
      </w:r>
      <w:r w:rsidR="00BF0E04" w:rsidRPr="00683075">
        <w:t xml:space="preserve"> </w:t>
      </w:r>
      <w:r w:rsidRPr="00683075">
        <w:t>domácom medzibankovom trhu sú naďalej</w:t>
      </w:r>
      <w:r w:rsidR="003E557A">
        <w:t xml:space="preserve"> v </w:t>
      </w:r>
      <w:r w:rsidRPr="00683075">
        <w:t>súlade</w:t>
      </w:r>
      <w:r w:rsidR="003E557A">
        <w:t xml:space="preserve"> s </w:t>
      </w:r>
      <w:r w:rsidRPr="00683075">
        <w:t>úrokovými sadzbami EURIBOR najkratších</w:t>
      </w:r>
      <w:r w:rsidR="00BF0E04" w:rsidRPr="00683075">
        <w:t xml:space="preserve"> </w:t>
      </w:r>
      <w:r w:rsidRPr="00683075">
        <w:t>splatností.</w:t>
      </w:r>
      <w:r w:rsidR="003E557A">
        <w:t xml:space="preserve"> v </w:t>
      </w:r>
      <w:r w:rsidRPr="00683075">
        <w:t xml:space="preserve">prípade implikovaných úrokových sadzieb na </w:t>
      </w:r>
      <w:r w:rsidRPr="00683075">
        <w:lastRenderedPageBreak/>
        <w:t>vklady prijaté od zahraničných bánk</w:t>
      </w:r>
      <w:r w:rsidR="00BF0E04" w:rsidRPr="00683075">
        <w:t xml:space="preserve"> </w:t>
      </w:r>
      <w:r w:rsidRPr="00683075">
        <w:t>došlo</w:t>
      </w:r>
      <w:r w:rsidR="003E557A">
        <w:t xml:space="preserve"> k </w:t>
      </w:r>
      <w:r w:rsidRPr="00683075">
        <w:t>nárastu po prepade</w:t>
      </w:r>
      <w:r w:rsidR="003E557A">
        <w:t xml:space="preserve"> v </w:t>
      </w:r>
      <w:r w:rsidRPr="00683075">
        <w:t xml:space="preserve">januári 2013, stále však nepresahujú úroveň </w:t>
      </w:r>
      <w:proofErr w:type="spellStart"/>
      <w:r w:rsidRPr="00683075">
        <w:t>EURIBOR-u</w:t>
      </w:r>
      <w:proofErr w:type="spellEnd"/>
      <w:r w:rsidR="003E557A">
        <w:t xml:space="preserve"> s </w:t>
      </w:r>
      <w:r w:rsidRPr="00683075">
        <w:t>ročnou</w:t>
      </w:r>
      <w:r w:rsidR="00BF0E04" w:rsidRPr="00683075">
        <w:t xml:space="preserve"> </w:t>
      </w:r>
      <w:r w:rsidRPr="00683075">
        <w:t>splatnosťou.</w:t>
      </w:r>
    </w:p>
    <w:p w:rsidR="00820B6E" w:rsidRPr="00683075" w:rsidRDefault="00820B6E" w:rsidP="00D77337">
      <w:pPr>
        <w:pStyle w:val="zvyraznene"/>
      </w:pPr>
      <w:r w:rsidRPr="00683075">
        <w:t>Klienti</w:t>
      </w:r>
      <w:r w:rsidR="00BF0E04" w:rsidRPr="00683075">
        <w:t xml:space="preserve"> </w:t>
      </w:r>
    </w:p>
    <w:p w:rsidR="00820B6E" w:rsidRPr="00683075" w:rsidRDefault="00820B6E" w:rsidP="00D77337">
      <w:pPr>
        <w:pStyle w:val="zvyraznene"/>
      </w:pPr>
      <w:r w:rsidRPr="00683075">
        <w:t>Sektor retailu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Pod rast úverov sa podpísal predovšetkým vývoj</w:t>
      </w:r>
      <w:r w:rsidR="00BF0E04" w:rsidRPr="00683075">
        <w:t xml:space="preserve"> </w:t>
      </w:r>
      <w:r w:rsidRPr="00683075">
        <w:t>úrokových sadzieb</w:t>
      </w:r>
    </w:p>
    <w:p w:rsidR="00820B6E" w:rsidRPr="00683075" w:rsidRDefault="00820B6E" w:rsidP="00683075">
      <w:r w:rsidRPr="00683075">
        <w:t xml:space="preserve">V prvom polroku 2013 portfólio </w:t>
      </w:r>
      <w:proofErr w:type="spellStart"/>
      <w:r w:rsidRPr="00683075">
        <w:t>retailových</w:t>
      </w:r>
      <w:proofErr w:type="spellEnd"/>
      <w:r w:rsidRPr="00683075">
        <w:t xml:space="preserve"> úverov </w:t>
      </w:r>
    </w:p>
    <w:p w:rsidR="00EC7744" w:rsidRPr="00683075" w:rsidRDefault="00820B6E" w:rsidP="00683075">
      <w:r w:rsidRPr="00683075">
        <w:t>pokračovalo</w:t>
      </w:r>
      <w:r w:rsidR="003E557A">
        <w:t xml:space="preserve"> v </w:t>
      </w:r>
      <w:r w:rsidRPr="00683075">
        <w:t>relatívne intenzívnom raste.</w:t>
      </w:r>
      <w:r w:rsidR="00BF0E04" w:rsidRPr="00683075">
        <w:t xml:space="preserve"> </w:t>
      </w:r>
      <w:r w:rsidRPr="00683075">
        <w:t>Celkovo na bilancii slovenského bankového</w:t>
      </w:r>
      <w:r w:rsidR="00BF0E04" w:rsidRPr="00683075">
        <w:t xml:space="preserve"> </w:t>
      </w:r>
      <w:r w:rsidRPr="00683075">
        <w:t>sektora počas referenčného obdobia pribudlo</w:t>
      </w:r>
      <w:r w:rsidR="00BF0E04" w:rsidRPr="00683075">
        <w:t xml:space="preserve"> </w:t>
      </w:r>
      <w:r w:rsidRPr="00683075">
        <w:t xml:space="preserve">767 mil. € </w:t>
      </w:r>
      <w:proofErr w:type="spellStart"/>
      <w:r w:rsidRPr="00683075">
        <w:t>retailových</w:t>
      </w:r>
      <w:proofErr w:type="spellEnd"/>
      <w:r w:rsidRPr="00683075">
        <w:t xml:space="preserve"> úverov, pričom táto hodnota</w:t>
      </w:r>
      <w:r w:rsidR="00BF0E04" w:rsidRPr="00683075">
        <w:t xml:space="preserve"> </w:t>
      </w:r>
      <w:r w:rsidRPr="00683075">
        <w:t>je o viac než 30</w:t>
      </w:r>
      <w:r w:rsidR="003E557A">
        <w:t xml:space="preserve"> % </w:t>
      </w:r>
      <w:r w:rsidRPr="00683075">
        <w:t>vyššia ako</w:t>
      </w:r>
      <w:r w:rsidR="003E557A">
        <w:t xml:space="preserve"> v </w:t>
      </w:r>
      <w:r w:rsidRPr="00683075">
        <w:t>rovnakom</w:t>
      </w:r>
      <w:r w:rsidR="00BF0E04" w:rsidRPr="00683075">
        <w:t xml:space="preserve"> </w:t>
      </w:r>
      <w:r w:rsidRPr="00683075">
        <w:t xml:space="preserve">období minulého roka. Medziročne objem </w:t>
      </w:r>
      <w:proofErr w:type="spellStart"/>
      <w:r w:rsidRPr="00683075">
        <w:t>retailových</w:t>
      </w:r>
      <w:proofErr w:type="spellEnd"/>
      <w:r w:rsidR="00BF0E04" w:rsidRPr="00683075">
        <w:t xml:space="preserve"> </w:t>
      </w:r>
      <w:r w:rsidRPr="00683075">
        <w:t>úverov narástol o 9,5 %,</w:t>
      </w:r>
      <w:r w:rsidR="003E557A">
        <w:t xml:space="preserve"> z </w:t>
      </w:r>
      <w:r w:rsidRPr="00683075">
        <w:t>toho úvery na</w:t>
      </w:r>
      <w:r w:rsidR="00BF0E04" w:rsidRPr="00683075">
        <w:t xml:space="preserve"> </w:t>
      </w:r>
      <w:r w:rsidRPr="00683075">
        <w:t>nehnuteľnosti o 11,83</w:t>
      </w:r>
      <w:r w:rsidR="003E557A">
        <w:t xml:space="preserve"> % a </w:t>
      </w:r>
      <w:r w:rsidRPr="00683075">
        <w:t>spotrebiteľské úvery</w:t>
      </w:r>
      <w:r w:rsidR="00BF0E04" w:rsidRPr="00683075">
        <w:t xml:space="preserve"> </w:t>
      </w:r>
      <w:r w:rsidRPr="00683075">
        <w:t xml:space="preserve">o 13,25 %. Úvery </w:t>
      </w:r>
      <w:proofErr w:type="spellStart"/>
      <w:r w:rsidRPr="00683075">
        <w:t>retailu</w:t>
      </w:r>
      <w:proofErr w:type="spellEnd"/>
      <w:r w:rsidRPr="00683075">
        <w:t xml:space="preserve"> najviac rástli vo väčších</w:t>
      </w:r>
      <w:r w:rsidR="00BF0E04" w:rsidRPr="00683075">
        <w:t xml:space="preserve"> </w:t>
      </w:r>
      <w:r w:rsidRPr="00683075">
        <w:t>bankách, no vzhľadom na svoju veľkosť relatívne</w:t>
      </w:r>
      <w:r w:rsidR="00BF0E04" w:rsidRPr="00683075">
        <w:t xml:space="preserve"> </w:t>
      </w:r>
      <w:r w:rsidRPr="00683075">
        <w:t>výraznú expanziu vykázali aj pobočky zahraničných</w:t>
      </w:r>
      <w:r w:rsidR="00BF0E04" w:rsidRPr="00683075">
        <w:t xml:space="preserve"> </w:t>
      </w:r>
      <w:r w:rsidRPr="00683075">
        <w:t>bánk.</w:t>
      </w:r>
    </w:p>
    <w:p w:rsidR="00EC7744" w:rsidRPr="00683075" w:rsidRDefault="00820B6E" w:rsidP="00683075">
      <w:r w:rsidRPr="00683075">
        <w:t>Prvý polrok 2013 je do značnej miery charakterizovaný</w:t>
      </w:r>
      <w:r w:rsidR="00BF0E04" w:rsidRPr="00683075">
        <w:t xml:space="preserve"> </w:t>
      </w:r>
      <w:r w:rsidRPr="00683075">
        <w:t>aj refinancovaním úverov, ktoré bolo na</w:t>
      </w:r>
      <w:r w:rsidR="00BF0E04" w:rsidRPr="00683075">
        <w:t xml:space="preserve"> </w:t>
      </w:r>
      <w:r w:rsidRPr="00683075">
        <w:t>úrovni približne 35</w:t>
      </w:r>
      <w:r w:rsidR="003E557A">
        <w:t xml:space="preserve"> % </w:t>
      </w:r>
      <w:r w:rsidRPr="00683075">
        <w:t>objemu nových čerpaní</w:t>
      </w:r>
      <w:r w:rsidR="00BF0E04" w:rsidRPr="00683075">
        <w:t xml:space="preserve"> </w:t>
      </w:r>
      <w:r w:rsidRPr="00683075">
        <w:t>úverov. Nadpriemerné refinancovanie sa prejavilo</w:t>
      </w:r>
      <w:r w:rsidR="00BF0E04" w:rsidRPr="00683075">
        <w:t xml:space="preserve"> </w:t>
      </w:r>
      <w:r w:rsidRPr="00683075">
        <w:t xml:space="preserve">hlavne na objeme </w:t>
      </w:r>
      <w:proofErr w:type="spellStart"/>
      <w:r w:rsidRPr="00683075">
        <w:t>novoposkytnutých</w:t>
      </w:r>
      <w:proofErr w:type="spellEnd"/>
      <w:r w:rsidRPr="00683075">
        <w:t xml:space="preserve"> úverov,</w:t>
      </w:r>
      <w:r w:rsidR="00BF0E04" w:rsidRPr="00683075">
        <w:t xml:space="preserve"> </w:t>
      </w:r>
      <w:r w:rsidRPr="00683075">
        <w:t>ktorý už koncom roka 2012 výrazne vzrástol</w:t>
      </w:r>
      <w:r w:rsidR="003E557A">
        <w:t xml:space="preserve"> a </w:t>
      </w:r>
      <w:r w:rsidRPr="00683075">
        <w:t>odhliadnuc od sezónnych vplyvov si túto úroveň</w:t>
      </w:r>
      <w:r w:rsidR="00BF0E04" w:rsidRPr="00683075">
        <w:t xml:space="preserve"> </w:t>
      </w:r>
      <w:r w:rsidRPr="00683075">
        <w:t>aj udržal.</w:t>
      </w:r>
    </w:p>
    <w:p w:rsidR="00820B6E" w:rsidRPr="00683075" w:rsidRDefault="00820B6E" w:rsidP="00683075">
      <w:r w:rsidRPr="00683075">
        <w:t>Napriek tomu, že medziročná dynamika stavu</w:t>
      </w:r>
      <w:r w:rsidR="00BF0E04" w:rsidRPr="00683075">
        <w:t xml:space="preserve"> </w:t>
      </w:r>
      <w:r w:rsidRPr="00683075">
        <w:t>úverov vykazuje pozitívne hodnoty, sezónne</w:t>
      </w:r>
      <w:r w:rsidR="00BF0E04" w:rsidRPr="00683075">
        <w:t xml:space="preserve"> </w:t>
      </w:r>
      <w:r w:rsidRPr="00683075">
        <w:t>očistený vývoj medzimesačných zmien</w:t>
      </w:r>
      <w:r w:rsidR="003E557A">
        <w:t xml:space="preserve"> v </w:t>
      </w:r>
      <w:r w:rsidRPr="00683075">
        <w:t>stave</w:t>
      </w:r>
      <w:r w:rsidR="00BF0E04" w:rsidRPr="00683075">
        <w:t xml:space="preserve"> </w:t>
      </w:r>
      <w:r w:rsidRPr="00683075">
        <w:t>úverov</w:t>
      </w:r>
      <w:r w:rsidR="003E557A">
        <w:t xml:space="preserve"> v </w:t>
      </w:r>
      <w:r w:rsidRPr="00683075">
        <w:t>prvom polroku 2013 naznačuje oproti</w:t>
      </w:r>
      <w:r w:rsidR="00BF0E04" w:rsidRPr="00683075">
        <w:t xml:space="preserve"> </w:t>
      </w:r>
      <w:r w:rsidRPr="00683075">
        <w:t>hodnotám</w:t>
      </w:r>
      <w:r w:rsidR="003E557A">
        <w:t xml:space="preserve"> v </w:t>
      </w:r>
      <w:r w:rsidRPr="00683075">
        <w:t>druhom polroku 2012 postupné</w:t>
      </w:r>
      <w:r w:rsidR="00BF0E04" w:rsidRPr="00683075">
        <w:t xml:space="preserve"> </w:t>
      </w:r>
      <w:r w:rsidRPr="00683075">
        <w:t>spomaľovanie.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Medzimesačné spomaľovanie rastu úverov</w:t>
      </w:r>
      <w:r w:rsidR="00BF0E04" w:rsidRPr="00683075">
        <w:t xml:space="preserve"> </w:t>
      </w:r>
      <w:r w:rsidRPr="00683075">
        <w:t>mohlo byť čiastočne aj dôsledkom ukončenia</w:t>
      </w:r>
      <w:r w:rsidR="00BF0E04" w:rsidRPr="00683075">
        <w:t xml:space="preserve"> </w:t>
      </w:r>
      <w:r w:rsidRPr="00683075">
        <w:t>kampaní väčších bánk, ktoré prebiehali</w:t>
      </w:r>
      <w:r w:rsidR="003E557A">
        <w:t xml:space="preserve"> v </w:t>
      </w:r>
      <w:r w:rsidRPr="00683075">
        <w:t>druhej</w:t>
      </w:r>
      <w:r w:rsidR="00BF0E04" w:rsidRPr="00683075">
        <w:t xml:space="preserve"> </w:t>
      </w:r>
      <w:r w:rsidRPr="00683075">
        <w:t>polovici roka 2012.</w:t>
      </w:r>
    </w:p>
    <w:p w:rsidR="00EC7744" w:rsidRPr="00683075" w:rsidRDefault="00820B6E" w:rsidP="00D77337">
      <w:pPr>
        <w:pStyle w:val="zvyraznene"/>
      </w:pPr>
      <w:r w:rsidRPr="00683075">
        <w:t>Dopyt po úveroch na nehnuteľnosti nemal</w:t>
      </w:r>
      <w:r w:rsidR="00BF0E04" w:rsidRPr="00683075">
        <w:t xml:space="preserve"> </w:t>
      </w:r>
      <w:r w:rsidRPr="00683075">
        <w:t>jednoznačný vývoj, rástla však miera konkurencie</w:t>
      </w:r>
      <w:r w:rsidR="00BF0E04" w:rsidRPr="00683075">
        <w:t xml:space="preserve"> </w:t>
      </w:r>
      <w:r w:rsidRPr="00683075">
        <w:t>medzi bankami</w:t>
      </w:r>
    </w:p>
    <w:p w:rsidR="00EC7744" w:rsidRPr="00683075" w:rsidRDefault="00820B6E" w:rsidP="00683075">
      <w:r w:rsidRPr="00683075">
        <w:t>Výsledky pravidelného prieskumu NBS o podmienkach</w:t>
      </w:r>
      <w:r w:rsidR="00BF0E04" w:rsidRPr="00683075">
        <w:t xml:space="preserve"> </w:t>
      </w:r>
      <w:r w:rsidRPr="00683075">
        <w:t>poskytovania úverov, tzv. úverových</w:t>
      </w:r>
      <w:r w:rsidR="00BF0E04" w:rsidRPr="00683075">
        <w:t xml:space="preserve"> </w:t>
      </w:r>
      <w:r w:rsidRPr="00683075">
        <w:t>štandardoch, naznačujú, že požiadavky na klientov</w:t>
      </w:r>
      <w:r w:rsidR="00BF0E04" w:rsidRPr="00683075">
        <w:t xml:space="preserve"> </w:t>
      </w:r>
      <w:r w:rsidRPr="00683075">
        <w:t>sa mierne sprísnili. To sa však nerealizovalo</w:t>
      </w:r>
      <w:r w:rsidR="00BF0E04" w:rsidRPr="00683075">
        <w:t xml:space="preserve"> </w:t>
      </w:r>
      <w:r w:rsidRPr="00683075">
        <w:t>zvýšením marží, ale napríklad nižším pomerom</w:t>
      </w:r>
      <w:r w:rsidR="00BF0E04" w:rsidRPr="00683075">
        <w:t xml:space="preserve"> </w:t>
      </w:r>
      <w:r w:rsidRPr="00683075">
        <w:t>výšky úveru</w:t>
      </w:r>
      <w:r w:rsidR="003E557A">
        <w:t xml:space="preserve"> a </w:t>
      </w:r>
      <w:r w:rsidRPr="00683075">
        <w:t>hodnoty zabezpečenia.</w:t>
      </w:r>
    </w:p>
    <w:p w:rsidR="00820B6E" w:rsidRPr="00683075" w:rsidRDefault="00820B6E" w:rsidP="00683075">
      <w:r w:rsidRPr="00683075">
        <w:t>Cena úverov reprezentovaná úrokovou sadzbou</w:t>
      </w:r>
      <w:r w:rsidR="00BF0E04" w:rsidRPr="00683075">
        <w:t xml:space="preserve"> </w:t>
      </w:r>
      <w:r w:rsidRPr="00683075">
        <w:t>sa stala</w:t>
      </w:r>
      <w:r w:rsidR="003E557A">
        <w:t xml:space="preserve"> v </w:t>
      </w:r>
      <w:r w:rsidRPr="00683075">
        <w:t>prvom polroku 2012 jedným</w:t>
      </w:r>
      <w:r w:rsidR="003E557A">
        <w:t xml:space="preserve"> z </w:t>
      </w:r>
      <w:r w:rsidRPr="00683075">
        <w:t>faktorov</w:t>
      </w:r>
      <w:r w:rsidR="00BF0E04" w:rsidRPr="00683075">
        <w:t xml:space="preserve"> </w:t>
      </w:r>
      <w:r w:rsidRPr="00683075">
        <w:t>podmieňujúcich dopyt po úveroch</w:t>
      </w:r>
      <w:r w:rsidR="003E557A">
        <w:t xml:space="preserve"> v </w:t>
      </w:r>
      <w:r w:rsidRPr="00683075">
        <w:t>jednotlivých</w:t>
      </w:r>
      <w:r w:rsidR="00BF0E04" w:rsidRPr="00683075">
        <w:t xml:space="preserve"> </w:t>
      </w:r>
      <w:r w:rsidRPr="00683075">
        <w:t>bankách. To sa odzrkadlilo najmä</w:t>
      </w:r>
      <w:r w:rsidR="003E557A">
        <w:t xml:space="preserve"> v </w:t>
      </w:r>
      <w:r w:rsidRPr="00683075">
        <w:t>rozdielnom</w:t>
      </w:r>
      <w:r w:rsidR="00BF0E04" w:rsidRPr="00683075">
        <w:t xml:space="preserve"> </w:t>
      </w:r>
      <w:r w:rsidRPr="00683075">
        <w:t>vývoji</w:t>
      </w:r>
      <w:r w:rsidR="003E557A">
        <w:t xml:space="preserve"> v </w:t>
      </w:r>
      <w:r w:rsidRPr="00683075">
        <w:t>druhom polroku 2012</w:t>
      </w:r>
      <w:r w:rsidR="003E557A">
        <w:t xml:space="preserve"> a v </w:t>
      </w:r>
      <w:r w:rsidRPr="00683075">
        <w:t>prvom</w:t>
      </w:r>
      <w:r w:rsidR="00BF0E04" w:rsidRPr="00683075">
        <w:t xml:space="preserve"> </w:t>
      </w:r>
      <w:r w:rsidRPr="00683075">
        <w:t>polroku 2013. Kým</w:t>
      </w:r>
      <w:r w:rsidR="003E557A">
        <w:t xml:space="preserve"> v </w:t>
      </w:r>
      <w:r w:rsidRPr="00683075">
        <w:t>druhej polovici roka 2012</w:t>
      </w:r>
      <w:r w:rsidR="00BF0E04" w:rsidRPr="00683075">
        <w:t xml:space="preserve"> </w:t>
      </w:r>
      <w:r w:rsidRPr="00683075">
        <w:t>bola väčšina trhového podielu na nových úveroch</w:t>
      </w:r>
      <w:r w:rsidR="00BF0E04" w:rsidRPr="00683075">
        <w:t xml:space="preserve"> </w:t>
      </w:r>
      <w:r w:rsidRPr="00683075">
        <w:t>koncentrovaná vo väčších bankách, ktoré</w:t>
      </w:r>
      <w:r w:rsidR="00BF0E04" w:rsidRPr="00683075">
        <w:t xml:space="preserve"> </w:t>
      </w:r>
      <w:r w:rsidRPr="00683075">
        <w:t>ponúkali</w:t>
      </w:r>
      <w:r w:rsidR="003E557A">
        <w:t xml:space="preserve"> v </w:t>
      </w:r>
      <w:r w:rsidRPr="00683075">
        <w:t>porovnaní so zvyškom bankového</w:t>
      </w:r>
      <w:r w:rsidR="00BF0E04" w:rsidRPr="00683075">
        <w:t xml:space="preserve"> </w:t>
      </w:r>
      <w:r w:rsidRPr="00683075">
        <w:t>sektora relatívne nízke úrokové sadzby,</w:t>
      </w:r>
      <w:r w:rsidR="003E557A">
        <w:t xml:space="preserve"> v </w:t>
      </w:r>
      <w:r w:rsidRPr="00683075">
        <w:t>prvom</w:t>
      </w:r>
      <w:r w:rsidR="00BF0E04" w:rsidRPr="00683075">
        <w:t xml:space="preserve"> </w:t>
      </w:r>
      <w:r w:rsidRPr="00683075">
        <w:t>polroku 2013 sa situácia zmenila.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Vybrané stredne veľké</w:t>
      </w:r>
      <w:r w:rsidR="003E557A">
        <w:t xml:space="preserve"> a </w:t>
      </w:r>
      <w:r w:rsidRPr="00683075">
        <w:t>menšie banky využili</w:t>
      </w:r>
      <w:r w:rsidR="00BF0E04" w:rsidRPr="00683075">
        <w:t xml:space="preserve"> </w:t>
      </w:r>
      <w:r w:rsidRPr="00683075">
        <w:t>úrokové sadzby ako nástroj konkurenčného</w:t>
      </w:r>
      <w:r w:rsidR="00BF0E04" w:rsidRPr="00683075">
        <w:t xml:space="preserve"> </w:t>
      </w:r>
      <w:r w:rsidRPr="00683075">
        <w:t>boja</w:t>
      </w:r>
      <w:r w:rsidR="003E557A">
        <w:t xml:space="preserve"> a </w:t>
      </w:r>
      <w:r w:rsidRPr="00683075">
        <w:t>zvýšený dopyt po úveroch na bývanie</w:t>
      </w:r>
      <w:r w:rsidR="003E557A">
        <w:t xml:space="preserve"> v </w:t>
      </w:r>
      <w:r w:rsidRPr="00683075">
        <w:t xml:space="preserve">tejto skupine bánk sa následne </w:t>
      </w:r>
      <w:r w:rsidRPr="00683075">
        <w:lastRenderedPageBreak/>
        <w:t>prejavil aj</w:t>
      </w:r>
      <w:r w:rsidR="00BF0E04" w:rsidRPr="00683075">
        <w:t xml:space="preserve"> </w:t>
      </w:r>
      <w:r w:rsidRPr="00683075">
        <w:t xml:space="preserve">zvýšením podielov na </w:t>
      </w:r>
      <w:proofErr w:type="spellStart"/>
      <w:r w:rsidRPr="00683075">
        <w:t>novoposkytnutých</w:t>
      </w:r>
      <w:proofErr w:type="spellEnd"/>
      <w:r w:rsidRPr="00683075">
        <w:t xml:space="preserve"> úveroch.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Dopyt po úveroch mohol byť podporený aj pokračujúcim</w:t>
      </w:r>
      <w:r w:rsidR="00BF0E04" w:rsidRPr="00683075">
        <w:t xml:space="preserve"> </w:t>
      </w:r>
      <w:r w:rsidRPr="00683075">
        <w:t>stabilným vývojom cien nehnuteľností,</w:t>
      </w:r>
      <w:r w:rsidR="00BF0E04" w:rsidRPr="00683075">
        <w:t xml:space="preserve"> </w:t>
      </w:r>
      <w:r w:rsidRPr="00683075">
        <w:t>ktoré sa dlhodobo držia na nižšej úrovni</w:t>
      </w:r>
      <w:r w:rsidR="003E557A">
        <w:t xml:space="preserve"> a </w:t>
      </w:r>
      <w:r w:rsidRPr="00683075">
        <w:t>spolu</w:t>
      </w:r>
      <w:r w:rsidR="003E557A">
        <w:t xml:space="preserve"> s </w:t>
      </w:r>
      <w:r w:rsidRPr="00683075">
        <w:t>nízkymi úrokovými sadzbami zvyšujú</w:t>
      </w:r>
      <w:r w:rsidR="00BF0E04" w:rsidRPr="00683075">
        <w:t xml:space="preserve"> </w:t>
      </w:r>
      <w:r w:rsidRPr="00683075">
        <w:t>dostupnosť bývania.</w:t>
      </w:r>
    </w:p>
    <w:p w:rsidR="00EC7744" w:rsidRPr="00683075" w:rsidRDefault="00820B6E" w:rsidP="00D77337">
      <w:pPr>
        <w:pStyle w:val="zvyraznene"/>
      </w:pPr>
      <w:r w:rsidRPr="00683075">
        <w:t>Dopyt po spotrebiteľských úveroch rástol</w:t>
      </w:r>
    </w:p>
    <w:p w:rsidR="00EC7744" w:rsidRPr="00683075" w:rsidRDefault="00820B6E" w:rsidP="00683075">
      <w:r w:rsidRPr="00683075">
        <w:t>Kým úverové štandardy na spotrebiteľské úvery</w:t>
      </w:r>
      <w:r w:rsidR="00BF0E04" w:rsidRPr="00683075">
        <w:t xml:space="preserve"> </w:t>
      </w:r>
      <w:r w:rsidRPr="00683075">
        <w:t>banky vo väčšej miere ponechali nezmenené, vo</w:t>
      </w:r>
      <w:r w:rsidR="00BF0E04" w:rsidRPr="00683075">
        <w:t xml:space="preserve"> </w:t>
      </w:r>
      <w:r w:rsidRPr="00683075">
        <w:t>viacerých bankách dopyt po spotrebiteľských</w:t>
      </w:r>
      <w:r w:rsidR="00BF0E04" w:rsidRPr="00683075">
        <w:t xml:space="preserve"> </w:t>
      </w:r>
      <w:r w:rsidRPr="00683075">
        <w:t>úveroch vzrástol.</w:t>
      </w:r>
    </w:p>
    <w:p w:rsidR="00EC7744" w:rsidRPr="00683075" w:rsidRDefault="00820B6E" w:rsidP="00683075">
      <w:r w:rsidRPr="00683075">
        <w:t>Napriek vyššiemu záujmu, pod ktorý sa podľa</w:t>
      </w:r>
      <w:r w:rsidR="00BF0E04" w:rsidRPr="00683075">
        <w:t xml:space="preserve"> </w:t>
      </w:r>
      <w:r w:rsidRPr="00683075">
        <w:t>bánk podpísala hlavne spotrebiteľská dôvera,</w:t>
      </w:r>
      <w:r w:rsidR="003E557A">
        <w:t xml:space="preserve"> a </w:t>
      </w:r>
      <w:r w:rsidRPr="00683075">
        <w:t>medziročnému rastu o viac ako 13 %, trend</w:t>
      </w:r>
      <w:r w:rsidR="003E557A">
        <w:t xml:space="preserve"> v </w:t>
      </w:r>
      <w:r w:rsidRPr="00683075">
        <w:t>medzimesačných zmenách</w:t>
      </w:r>
      <w:r w:rsidR="003E557A">
        <w:t xml:space="preserve"> v </w:t>
      </w:r>
      <w:r w:rsidRPr="00683075">
        <w:t>objeme spotrebiteľských</w:t>
      </w:r>
      <w:r w:rsidR="00BF0E04" w:rsidRPr="00683075">
        <w:t xml:space="preserve"> </w:t>
      </w:r>
      <w:r w:rsidRPr="00683075">
        <w:t>úverov naznačuje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>2013 postupné spomaľovanie</w:t>
      </w:r>
      <w:r w:rsidR="003E557A">
        <w:t xml:space="preserve"> v </w:t>
      </w:r>
      <w:r w:rsidRPr="00683075">
        <w:t>raste stavu spotrebiteľských</w:t>
      </w:r>
      <w:r w:rsidR="00BF0E04" w:rsidRPr="00683075">
        <w:t xml:space="preserve"> </w:t>
      </w:r>
      <w:r w:rsidRPr="00683075">
        <w:t>úverov. Celkovo sa však rast spotrebiteľských</w:t>
      </w:r>
      <w:r w:rsidR="00BF0E04" w:rsidRPr="00683075">
        <w:t xml:space="preserve"> </w:t>
      </w:r>
      <w:r w:rsidRPr="00683075">
        <w:t>úverov pohybuje na priemerných</w:t>
      </w:r>
      <w:r w:rsidR="00BF0E04" w:rsidRPr="00683075">
        <w:t xml:space="preserve"> </w:t>
      </w:r>
      <w:r w:rsidRPr="00683075">
        <w:t>úrovniach</w:t>
      </w:r>
      <w:r w:rsidR="003E557A">
        <w:t xml:space="preserve"> z </w:t>
      </w:r>
      <w:r w:rsidRPr="00683075">
        <w:t>predkrízového obdobia.</w:t>
      </w:r>
    </w:p>
    <w:p w:rsidR="00EC7744" w:rsidRPr="00683075" w:rsidRDefault="00820B6E" w:rsidP="00D77337">
      <w:pPr>
        <w:pStyle w:val="zvyraznene"/>
      </w:pPr>
      <w:r w:rsidRPr="00683075">
        <w:t>Úrokové sadzby</w:t>
      </w:r>
      <w:r w:rsidR="003E557A">
        <w:t xml:space="preserve"> v </w:t>
      </w:r>
      <w:r w:rsidRPr="00683075">
        <w:t>prvom polroku 2013 dosiahli</w:t>
      </w:r>
      <w:r w:rsidR="00BF0E04" w:rsidRPr="00683075">
        <w:t xml:space="preserve"> </w:t>
      </w:r>
      <w:r w:rsidRPr="00683075">
        <w:t>nové historické minimá</w:t>
      </w:r>
    </w:p>
    <w:p w:rsidR="00EC7744" w:rsidRPr="00683075" w:rsidRDefault="00820B6E" w:rsidP="00683075">
      <w:r w:rsidRPr="00683075">
        <w:t>Vývoj úrokových sadzieb môžeme charakterizovať</w:t>
      </w:r>
      <w:r w:rsidR="00BF0E04" w:rsidRPr="00683075">
        <w:t xml:space="preserve"> </w:t>
      </w:r>
      <w:r w:rsidRPr="00683075">
        <w:t>ako turbulentný už od začiatku roka 2012</w:t>
      </w:r>
      <w:r w:rsidR="003E557A">
        <w:t xml:space="preserve"> a </w:t>
      </w:r>
      <w:r w:rsidRPr="00683075">
        <w:t>podobne aj</w:t>
      </w:r>
      <w:r w:rsidR="003E557A">
        <w:t xml:space="preserve"> v </w:t>
      </w:r>
      <w:r w:rsidRPr="00683075">
        <w:t>prvom polroku 2013.</w:t>
      </w:r>
    </w:p>
    <w:p w:rsidR="00EC7744" w:rsidRPr="00683075" w:rsidRDefault="00820B6E" w:rsidP="00683075">
      <w:r w:rsidRPr="00683075">
        <w:t>Kým ešte koncom roka 2012 úrokové sadzby dosahovali</w:t>
      </w:r>
      <w:r w:rsidR="00BF0E04" w:rsidRPr="00683075">
        <w:t xml:space="preserve"> </w:t>
      </w:r>
      <w:r w:rsidRPr="00683075">
        <w:t>relatívne nízke úrovne,</w:t>
      </w:r>
      <w:r w:rsidR="003E557A">
        <w:t xml:space="preserve"> v </w:t>
      </w:r>
      <w:r w:rsidRPr="00683075">
        <w:t>januári</w:t>
      </w:r>
      <w:r w:rsidR="003E557A">
        <w:t xml:space="preserve"> a </w:t>
      </w:r>
      <w:r w:rsidRPr="00683075">
        <w:t>februári</w:t>
      </w:r>
      <w:r w:rsidR="00BF0E04" w:rsidRPr="00683075">
        <w:t xml:space="preserve"> </w:t>
      </w:r>
      <w:r w:rsidRPr="00683075">
        <w:t>došlo vo vývoji sadzieb</w:t>
      </w:r>
      <w:r w:rsidR="003E557A">
        <w:t xml:space="preserve"> k </w:t>
      </w:r>
      <w:r w:rsidRPr="00683075">
        <w:t>prudšiemu nárastu.</w:t>
      </w:r>
      <w:r w:rsidR="00BF0E04" w:rsidRPr="00683075">
        <w:t xml:space="preserve"> </w:t>
      </w:r>
      <w:r w:rsidRPr="00683075">
        <w:t>Týka sa to hlavne bankových úverov na bývanie,</w:t>
      </w:r>
      <w:r w:rsidR="00BF0E04" w:rsidRPr="00683075">
        <w:t xml:space="preserve"> </w:t>
      </w:r>
      <w:r w:rsidRPr="00683075">
        <w:t>ktoré nie sú klasifikované ako hypotekárne úvery,</w:t>
      </w:r>
      <w:r w:rsidR="00BF0E04" w:rsidRPr="00683075">
        <w:t xml:space="preserve"> </w:t>
      </w:r>
      <w:r w:rsidRPr="00683075">
        <w:t xml:space="preserve">stavebné úvery alebo </w:t>
      </w:r>
      <w:proofErr w:type="spellStart"/>
      <w:r w:rsidRPr="00683075">
        <w:t>medziúvery</w:t>
      </w:r>
      <w:proofErr w:type="spellEnd"/>
      <w:r w:rsidRPr="00683075">
        <w:t>.</w:t>
      </w:r>
    </w:p>
    <w:p w:rsidR="00EC7744" w:rsidRPr="00683075" w:rsidRDefault="00820B6E" w:rsidP="00683075">
      <w:r w:rsidRPr="00683075">
        <w:t>Nárast</w:t>
      </w:r>
      <w:r w:rsidR="003E557A">
        <w:t xml:space="preserve"> v </w:t>
      </w:r>
      <w:r w:rsidRPr="00683075">
        <w:t>úrokových sadzbách</w:t>
      </w:r>
      <w:r w:rsidR="003E557A">
        <w:t xml:space="preserve"> v </w:t>
      </w:r>
      <w:r w:rsidRPr="00683075">
        <w:t>januári</w:t>
      </w:r>
      <w:r w:rsidR="003E557A">
        <w:t xml:space="preserve"> a </w:t>
      </w:r>
      <w:r w:rsidRPr="00683075">
        <w:t>februári</w:t>
      </w:r>
      <w:r w:rsidR="00BF0E04" w:rsidRPr="00683075">
        <w:t xml:space="preserve"> </w:t>
      </w:r>
      <w:r w:rsidRPr="00683075">
        <w:t>2013 bol dôsledkom vývoja vo vybraných bankách.</w:t>
      </w:r>
      <w:r w:rsidR="00BF0E04" w:rsidRPr="00683075">
        <w:t xml:space="preserve"> </w:t>
      </w:r>
      <w:r w:rsidRPr="00683075">
        <w:t>Tento šok</w:t>
      </w:r>
      <w:r w:rsidR="003E557A">
        <w:t xml:space="preserve"> v </w:t>
      </w:r>
      <w:r w:rsidRPr="00683075">
        <w:t>úrokových sadzbách bol dostatočne</w:t>
      </w:r>
      <w:r w:rsidR="00BF0E04" w:rsidRPr="00683075">
        <w:t xml:space="preserve"> </w:t>
      </w:r>
      <w:r w:rsidRPr="00683075">
        <w:t>intenzívny, aby sa prejavil aj odchýlkou</w:t>
      </w:r>
      <w:r w:rsidR="00BF0E04" w:rsidRPr="00683075">
        <w:t xml:space="preserve"> </w:t>
      </w:r>
      <w:r w:rsidRPr="00683075">
        <w:t xml:space="preserve">priemernej úrokovej sadzby na </w:t>
      </w:r>
      <w:proofErr w:type="spellStart"/>
      <w:r w:rsidRPr="00683075">
        <w:t>novoposkytnuté</w:t>
      </w:r>
      <w:proofErr w:type="spellEnd"/>
      <w:r w:rsidR="00BF0E04" w:rsidRPr="00683075">
        <w:t xml:space="preserve"> </w:t>
      </w:r>
      <w:r w:rsidRPr="00683075">
        <w:t>úvery na nehnuteľnosti od očakávaní vychádzajúcich</w:t>
      </w:r>
      <w:r w:rsidR="003E557A">
        <w:t xml:space="preserve"> z </w:t>
      </w:r>
      <w:r w:rsidRPr="00683075">
        <w:t>trhových faktorov.</w:t>
      </w:r>
    </w:p>
    <w:p w:rsidR="00EC7744" w:rsidRPr="00683075" w:rsidRDefault="00820B6E" w:rsidP="00683075">
      <w:r w:rsidRPr="00683075">
        <w:t>Až</w:t>
      </w:r>
      <w:r w:rsidR="003E557A">
        <w:t xml:space="preserve"> v </w:t>
      </w:r>
      <w:r w:rsidRPr="00683075">
        <w:t>druhom štvrťroku sa situácia upokojila</w:t>
      </w:r>
      <w:r w:rsidR="003E557A">
        <w:t xml:space="preserve"> a </w:t>
      </w:r>
      <w:r w:rsidRPr="00683075">
        <w:t>priemerné úrokové sadzby pokračovali</w:t>
      </w:r>
      <w:r w:rsidR="003E557A">
        <w:t xml:space="preserve"> v </w:t>
      </w:r>
      <w:r w:rsidRPr="00683075">
        <w:t>klesajúcom</w:t>
      </w:r>
      <w:r w:rsidR="00BF0E04" w:rsidRPr="00683075">
        <w:t xml:space="preserve"> </w:t>
      </w:r>
      <w:r w:rsidRPr="00683075">
        <w:t>trende. Tento pokles odráža na jednej</w:t>
      </w:r>
      <w:r w:rsidR="00BF0E04" w:rsidRPr="00683075">
        <w:t xml:space="preserve"> </w:t>
      </w:r>
      <w:r w:rsidRPr="00683075">
        <w:t>strane vývoj trhových faktorov, ale na druhej</w:t>
      </w:r>
      <w:r w:rsidR="00BF0E04" w:rsidRPr="00683075">
        <w:t xml:space="preserve"> </w:t>
      </w:r>
      <w:r w:rsidRPr="00683075">
        <w:t>strane aj zvýšenú mieru konkurencie zo strany</w:t>
      </w:r>
      <w:r w:rsidR="00BF0E04" w:rsidRPr="00683075">
        <w:t xml:space="preserve"> </w:t>
      </w:r>
      <w:r w:rsidRPr="00683075">
        <w:t>stredne veľkých</w:t>
      </w:r>
      <w:r w:rsidR="003E557A">
        <w:t xml:space="preserve"> a </w:t>
      </w:r>
      <w:r w:rsidRPr="00683075">
        <w:t>menších bánk.</w:t>
      </w:r>
    </w:p>
    <w:p w:rsidR="00EC7744" w:rsidRPr="00683075" w:rsidRDefault="00820B6E" w:rsidP="00D77337">
      <w:pPr>
        <w:pStyle w:val="zvyraznene"/>
      </w:pPr>
      <w:r w:rsidRPr="00683075">
        <w:t>Rast vkladov sa</w:t>
      </w:r>
      <w:r w:rsidR="003E557A">
        <w:t xml:space="preserve"> v </w:t>
      </w:r>
      <w:r w:rsidRPr="00683075">
        <w:t>prvom polroku 2013</w:t>
      </w:r>
      <w:r w:rsidR="00BF0E04" w:rsidRPr="00683075">
        <w:t xml:space="preserve"> </w:t>
      </w:r>
      <w:r w:rsidRPr="00683075">
        <w:t>spomalil; presadzujú sa pobočky zahraničných</w:t>
      </w:r>
      <w:r w:rsidR="00BF0E04" w:rsidRPr="00683075">
        <w:t xml:space="preserve"> </w:t>
      </w:r>
      <w:r w:rsidRPr="00683075">
        <w:t>bánk</w:t>
      </w:r>
    </w:p>
    <w:p w:rsidR="00820B6E" w:rsidRPr="00683075" w:rsidRDefault="00820B6E" w:rsidP="00683075">
      <w:r w:rsidRPr="00683075">
        <w:t xml:space="preserve">Vývoj </w:t>
      </w:r>
      <w:proofErr w:type="spellStart"/>
      <w:r w:rsidRPr="00683075">
        <w:t>retailových</w:t>
      </w:r>
      <w:proofErr w:type="spellEnd"/>
      <w:r w:rsidRPr="00683075">
        <w:t xml:space="preserve"> vkladov zaznamenal počas prvého</w:t>
      </w:r>
      <w:r w:rsidR="00BF0E04" w:rsidRPr="00683075">
        <w:t xml:space="preserve"> </w:t>
      </w:r>
      <w:r w:rsidRPr="00683075">
        <w:t>polroka 2013 niekoľko negatívnych zmien.</w:t>
      </w:r>
      <w:r w:rsidR="00BF0E04" w:rsidRPr="00683075">
        <w:t xml:space="preserve"> </w:t>
      </w:r>
      <w:r w:rsidRPr="00683075">
        <w:t xml:space="preserve">Napriek tomu, že objem vkladov </w:t>
      </w:r>
      <w:proofErr w:type="spellStart"/>
      <w:r w:rsidRPr="00683075">
        <w:t>retailu</w:t>
      </w:r>
      <w:proofErr w:type="spellEnd"/>
      <w:r w:rsidRPr="00683075">
        <w:t xml:space="preserve"> počas prvého</w:t>
      </w:r>
      <w:r w:rsidR="00BF0E04" w:rsidRPr="00683075">
        <w:t xml:space="preserve"> </w:t>
      </w:r>
      <w:r w:rsidRPr="00683075">
        <w:t>polroka 2013 vzrástol o viac ako 461 mil. €,</w:t>
      </w:r>
      <w:r w:rsidR="00BF0E04" w:rsidRPr="00683075">
        <w:t xml:space="preserve"> </w:t>
      </w:r>
      <w:r w:rsidRPr="00683075">
        <w:t>celkovo sa rast vkladov spomalil,</w:t>
      </w:r>
      <w:r w:rsidR="003E557A">
        <w:t xml:space="preserve"> a </w:t>
      </w:r>
      <w:r w:rsidRPr="00683075">
        <w:t>to nielen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rokom 2012 (na úrovni cca 70 %) ale aj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rokmi 2011</w:t>
      </w:r>
      <w:r w:rsidR="003E557A">
        <w:t xml:space="preserve"> a </w:t>
      </w:r>
      <w:r w:rsidRPr="00683075">
        <w:t>2010.</w:t>
      </w:r>
      <w:r w:rsidR="00BF0E04" w:rsidRPr="00683075">
        <w:t xml:space="preserve"> </w:t>
      </w:r>
    </w:p>
    <w:p w:rsidR="00EC7744" w:rsidRPr="00683075" w:rsidRDefault="00820B6E" w:rsidP="00683075">
      <w:proofErr w:type="spellStart"/>
      <w:r w:rsidRPr="00683075">
        <w:t>Retailoví</w:t>
      </w:r>
      <w:proofErr w:type="spellEnd"/>
      <w:r w:rsidRPr="00683075">
        <w:t xml:space="preserve"> klienti</w:t>
      </w:r>
      <w:r w:rsidR="003E557A">
        <w:t xml:space="preserve"> v </w:t>
      </w:r>
      <w:r w:rsidRPr="00683075">
        <w:t>prvom polroku 2013 nadviazali</w:t>
      </w:r>
      <w:r w:rsidR="00BF0E04" w:rsidRPr="00683075">
        <w:t xml:space="preserve"> </w:t>
      </w:r>
      <w:r w:rsidRPr="00683075">
        <w:t>na trend</w:t>
      </w:r>
      <w:r w:rsidR="003E557A">
        <w:t xml:space="preserve"> z </w:t>
      </w:r>
      <w:r w:rsidRPr="00683075">
        <w:t>posledného štvrťroka 2012,</w:t>
      </w:r>
      <w:r w:rsidR="003E557A">
        <w:t xml:space="preserve"> v </w:t>
      </w:r>
      <w:r w:rsidRPr="00683075">
        <w:t>rámci</w:t>
      </w:r>
      <w:r w:rsidR="00BF0E04" w:rsidRPr="00683075">
        <w:t xml:space="preserve"> </w:t>
      </w:r>
      <w:r w:rsidRPr="00683075">
        <w:t>ktorého presúvali prostriedky</w:t>
      </w:r>
      <w:r w:rsidR="003E557A">
        <w:t xml:space="preserve"> z </w:t>
      </w:r>
      <w:r w:rsidRPr="00683075">
        <w:t>termínovaných</w:t>
      </w:r>
      <w:r w:rsidR="00BF0E04" w:rsidRPr="00683075">
        <w:t xml:space="preserve"> </w:t>
      </w:r>
      <w:r w:rsidRPr="00683075">
        <w:t>vkladov na netermínované vklady, denné termínované</w:t>
      </w:r>
      <w:r w:rsidR="00BF0E04" w:rsidRPr="00683075">
        <w:t xml:space="preserve"> </w:t>
      </w:r>
      <w:r w:rsidRPr="00683075">
        <w:t>vklady</w:t>
      </w:r>
      <w:r w:rsidR="003E557A">
        <w:t xml:space="preserve"> a </w:t>
      </w:r>
      <w:r w:rsidRPr="00683075">
        <w:t>vklady</w:t>
      </w:r>
      <w:r w:rsidR="003E557A">
        <w:t xml:space="preserve"> s </w:t>
      </w:r>
      <w:r w:rsidRPr="00683075">
        <w:t>výpovednou lehotou</w:t>
      </w:r>
      <w:r w:rsidR="00BF0E04" w:rsidRPr="00683075">
        <w:t xml:space="preserve"> </w:t>
      </w:r>
      <w:r w:rsidRPr="00683075">
        <w:t>prevažne do troch mesiacov. Naďalej tak reagujú</w:t>
      </w:r>
      <w:r w:rsidR="00BF0E04" w:rsidRPr="00683075">
        <w:t xml:space="preserve"> </w:t>
      </w:r>
      <w:r w:rsidRPr="00683075">
        <w:t>na nízke úrokové sadzby na nové vklady, ktorých</w:t>
      </w:r>
      <w:r w:rsidR="00BF0E04" w:rsidRPr="00683075">
        <w:t xml:space="preserve"> </w:t>
      </w:r>
      <w:r w:rsidRPr="00683075">
        <w:t>výška je však</w:t>
      </w:r>
      <w:r w:rsidR="003E557A">
        <w:t xml:space="preserve"> </w:t>
      </w:r>
      <w:r w:rsidR="003E557A">
        <w:lastRenderedPageBreak/>
        <w:t>v </w:t>
      </w:r>
      <w:r w:rsidRPr="00683075">
        <w:t>súlade</w:t>
      </w:r>
      <w:r w:rsidR="003E557A">
        <w:t xml:space="preserve"> s </w:t>
      </w:r>
      <w:r w:rsidRPr="00683075">
        <w:t>vývojom trhových faktorov.</w:t>
      </w:r>
    </w:p>
    <w:p w:rsidR="00EC7744" w:rsidRPr="00683075" w:rsidRDefault="00820B6E" w:rsidP="00683075">
      <w:r w:rsidRPr="00683075">
        <w:t>Odhliadnuc od sezónnych vplyvov, rast vkladov</w:t>
      </w:r>
      <w:r w:rsidR="00BF0E04" w:rsidRPr="00683075">
        <w:t xml:space="preserve"> </w:t>
      </w:r>
      <w:r w:rsidRPr="00683075">
        <w:t>počnúc druhým polrokom 2011 vykazoval pomerne</w:t>
      </w:r>
      <w:r w:rsidR="00BF0E04" w:rsidRPr="00683075">
        <w:t xml:space="preserve"> </w:t>
      </w:r>
      <w:r w:rsidRPr="00683075">
        <w:t>stabilné tempo</w:t>
      </w:r>
      <w:r w:rsidR="003E557A">
        <w:t xml:space="preserve"> s </w:t>
      </w:r>
      <w:r w:rsidRPr="00683075">
        <w:t>mesačnými prírastkami</w:t>
      </w:r>
      <w:r w:rsidR="00BF0E04" w:rsidRPr="00683075">
        <w:t xml:space="preserve"> </w:t>
      </w:r>
      <w:r w:rsidRPr="00683075">
        <w:t>na úrovni približne 110 mil. €,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 xml:space="preserve">2013 však bolo jeho tempo </w:t>
      </w:r>
      <w:proofErr w:type="spellStart"/>
      <w:r w:rsidRPr="00683075">
        <w:t>volatilnejšie</w:t>
      </w:r>
      <w:proofErr w:type="spellEnd"/>
      <w:r w:rsidRPr="00683075">
        <w:t>. Tento</w:t>
      </w:r>
      <w:r w:rsidR="00BF0E04" w:rsidRPr="00683075">
        <w:t xml:space="preserve"> </w:t>
      </w:r>
      <w:r w:rsidRPr="00683075">
        <w:t>fenomén možno čiastočne vysvetliť ako „</w:t>
      </w:r>
      <w:proofErr w:type="spellStart"/>
      <w:r w:rsidRPr="00683075">
        <w:t>search-for-yield</w:t>
      </w:r>
      <w:proofErr w:type="spellEnd"/>
      <w:r w:rsidRPr="00683075">
        <w:t xml:space="preserve">“ zo strany </w:t>
      </w:r>
      <w:proofErr w:type="spellStart"/>
      <w:r w:rsidRPr="00683075">
        <w:t>retailových</w:t>
      </w:r>
      <w:proofErr w:type="spellEnd"/>
      <w:r w:rsidRPr="00683075">
        <w:t xml:space="preserve"> klientov, nakoľko</w:t>
      </w:r>
      <w:r w:rsidR="00BF0E04" w:rsidRPr="00683075">
        <w:t xml:space="preserve"> </w:t>
      </w:r>
      <w:r w:rsidRPr="00683075">
        <w:t>čisté predaje podielov vo fondoch kolektívneho</w:t>
      </w:r>
      <w:r w:rsidR="00BF0E04" w:rsidRPr="00683075">
        <w:t xml:space="preserve"> </w:t>
      </w:r>
      <w:r w:rsidRPr="00683075">
        <w:t>investovania, ktoré predstavujú investičnú alternatívu</w:t>
      </w:r>
      <w:r w:rsidR="00BF0E04" w:rsidRPr="00683075">
        <w:t xml:space="preserve"> </w:t>
      </w:r>
      <w:r w:rsidRPr="00683075">
        <w:t>pre termínované vklady, zaznamenali</w:t>
      </w:r>
      <w:r w:rsidR="00BF0E04" w:rsidRPr="00683075">
        <w:t xml:space="preserve"> </w:t>
      </w:r>
      <w:r w:rsidRPr="00683075">
        <w:t>vývoj</w:t>
      </w:r>
      <w:r w:rsidR="003E557A">
        <w:t xml:space="preserve"> s </w:t>
      </w:r>
      <w:r w:rsidRPr="00683075">
        <w:t xml:space="preserve">obdobnou </w:t>
      </w:r>
      <w:proofErr w:type="spellStart"/>
      <w:r w:rsidRPr="00683075">
        <w:t>volatilitou</w:t>
      </w:r>
      <w:proofErr w:type="spellEnd"/>
      <w:r w:rsidRPr="00683075">
        <w:t xml:space="preserve"> avšak</w:t>
      </w:r>
      <w:r w:rsidR="003E557A">
        <w:t xml:space="preserve"> s </w:t>
      </w:r>
      <w:r w:rsidRPr="00683075">
        <w:t>opačným</w:t>
      </w:r>
      <w:r w:rsidR="00BF0E04" w:rsidRPr="00683075">
        <w:t xml:space="preserve"> </w:t>
      </w:r>
      <w:r w:rsidRPr="00683075">
        <w:t>trendom.</w:t>
      </w:r>
    </w:p>
    <w:p w:rsidR="00EC7744" w:rsidRPr="00683075" w:rsidRDefault="00820B6E" w:rsidP="00D77337">
      <w:pPr>
        <w:pStyle w:val="zvyraznene"/>
      </w:pPr>
      <w:r w:rsidRPr="00683075">
        <w:t>Sektor podnikov</w:t>
      </w:r>
    </w:p>
    <w:p w:rsidR="00EC7744" w:rsidRPr="00683075" w:rsidRDefault="00820B6E" w:rsidP="00D77337">
      <w:pPr>
        <w:pStyle w:val="zvyraznene"/>
      </w:pPr>
      <w:r w:rsidRPr="00683075">
        <w:t>Dopyt po úveroch sa neoživil</w:t>
      </w:r>
    </w:p>
    <w:p w:rsidR="00EC7744" w:rsidRPr="00683075" w:rsidRDefault="00820B6E" w:rsidP="00683075">
      <w:r w:rsidRPr="00683075">
        <w:t>Charakter trhu úverov podnikom sa počas prvého</w:t>
      </w:r>
      <w:r w:rsidR="00BF0E04" w:rsidRPr="00683075">
        <w:t xml:space="preserve"> </w:t>
      </w:r>
      <w:r w:rsidRPr="00683075">
        <w:t>polroka 2013 výraznejšie nezmenil. Napriek</w:t>
      </w:r>
      <w:r w:rsidR="00BF0E04" w:rsidRPr="00683075">
        <w:t xml:space="preserve"> </w:t>
      </w:r>
      <w:r w:rsidRPr="00683075">
        <w:t>tomu, že niektoré banky zaznamenali nárast dopytu</w:t>
      </w:r>
      <w:r w:rsidR="00BF0E04" w:rsidRPr="00683075">
        <w:t xml:space="preserve"> </w:t>
      </w:r>
      <w:r w:rsidRPr="00683075">
        <w:t>pre určité kategórie úverov, môžeme hovoriť</w:t>
      </w:r>
      <w:r w:rsidR="00BF0E04" w:rsidRPr="00683075">
        <w:t xml:space="preserve"> </w:t>
      </w:r>
      <w:r w:rsidRPr="00683075">
        <w:t>skôr o pokračovaní trendu relatívne slabého</w:t>
      </w:r>
      <w:r w:rsidR="00BF0E04" w:rsidRPr="00683075">
        <w:t xml:space="preserve"> </w:t>
      </w:r>
      <w:r w:rsidRPr="00683075">
        <w:t>dopytu.</w:t>
      </w:r>
    </w:p>
    <w:p w:rsidR="00820B6E" w:rsidRPr="00683075" w:rsidRDefault="00820B6E" w:rsidP="00683075">
      <w:r w:rsidRPr="00683075">
        <w:t>Dôležitým faktorom bol</w:t>
      </w:r>
      <w:r w:rsidR="003E557A">
        <w:t xml:space="preserve"> v </w:t>
      </w:r>
      <w:r w:rsidRPr="00683075">
        <w:t>tomto prípade nepresvedčivý</w:t>
      </w:r>
      <w:r w:rsidR="00BF0E04" w:rsidRPr="00683075">
        <w:t xml:space="preserve"> </w:t>
      </w:r>
      <w:r w:rsidRPr="00683075">
        <w:t>makroekonomický vývoj na Slovensku</w:t>
      </w:r>
      <w:r w:rsidR="003E557A">
        <w:t xml:space="preserve"> a v </w:t>
      </w:r>
      <w:r w:rsidRPr="00683075">
        <w:t>eurozóne, ktorý logicky nevyvolal</w:t>
      </w:r>
      <w:r w:rsidR="00BF0E04" w:rsidRPr="00683075">
        <w:t xml:space="preserve"> </w:t>
      </w:r>
      <w:r w:rsidRPr="00683075">
        <w:t>zásadnejšie zlepšenie situácie</w:t>
      </w:r>
      <w:r w:rsidR="003E557A">
        <w:t xml:space="preserve"> v </w:t>
      </w:r>
      <w:r w:rsidRPr="00683075">
        <w:t>podnikovom</w:t>
      </w:r>
      <w:r w:rsidR="00BF0E04" w:rsidRPr="00683075">
        <w:t xml:space="preserve"> </w:t>
      </w:r>
      <w:r w:rsidRPr="00683075">
        <w:t>sektore. Napriek medziročnému rastu tržieb</w:t>
      </w:r>
      <w:r w:rsidR="00BF0E04" w:rsidRPr="00683075">
        <w:t xml:space="preserve"> </w:t>
      </w:r>
      <w:r w:rsidRPr="00683075">
        <w:t>viaceré odvetvia aj naďalej zaostávajú za výkonnosťou</w:t>
      </w:r>
      <w:r w:rsidR="00BF0E04" w:rsidRPr="00683075">
        <w:t xml:space="preserve"> </w:t>
      </w:r>
      <w:r w:rsidRPr="00683075">
        <w:t>dosiahnutou</w:t>
      </w:r>
      <w:r w:rsidR="003E557A">
        <w:t xml:space="preserve"> v </w:t>
      </w:r>
      <w:r w:rsidRPr="00683075">
        <w:t>rokoch 2007</w:t>
      </w:r>
      <w:r w:rsidR="003E557A">
        <w:t xml:space="preserve"> a </w:t>
      </w:r>
      <w:r w:rsidRPr="00683075">
        <w:t>2008.</w:t>
      </w:r>
      <w:r w:rsidR="00BF0E04" w:rsidRPr="00683075">
        <w:t xml:space="preserve"> </w:t>
      </w:r>
      <w:r w:rsidRPr="00683075">
        <w:t>Platí to najmä pre stavebníctvo, predaj motorových</w:t>
      </w:r>
      <w:r w:rsidR="00BF0E04" w:rsidRPr="00683075">
        <w:t xml:space="preserve"> </w:t>
      </w:r>
      <w:r w:rsidRPr="00683075">
        <w:t>vozidiel, veľkoobchod, maloobchod,</w:t>
      </w:r>
      <w:r w:rsidR="00BF0E04" w:rsidRPr="00683075">
        <w:t xml:space="preserve"> </w:t>
      </w:r>
      <w:r w:rsidRPr="00683075">
        <w:t>ubytovacie</w:t>
      </w:r>
      <w:r w:rsidR="003E557A">
        <w:t xml:space="preserve"> a </w:t>
      </w:r>
      <w:r w:rsidRPr="00683075">
        <w:t>stravovacie služby. Navyše, aj</w:t>
      </w:r>
      <w:r w:rsidR="00BF0E04" w:rsidRPr="00683075">
        <w:t xml:space="preserve"> </w:t>
      </w:r>
      <w:r w:rsidRPr="00683075">
        <w:t>tradične silný rast tržieb</w:t>
      </w:r>
      <w:r w:rsidR="003E557A">
        <w:t xml:space="preserve"> v </w:t>
      </w:r>
      <w:r w:rsidRPr="00683075">
        <w:t>priemysle sa počas</w:t>
      </w:r>
      <w:r w:rsidR="00BF0E04" w:rsidRPr="00683075">
        <w:t xml:space="preserve"> </w:t>
      </w:r>
      <w:r w:rsidRPr="00683075">
        <w:t>prvých šesť mesiacov 2013 spomalil. Súvisí</w:t>
      </w:r>
      <w:r w:rsidR="00BF0E04" w:rsidRPr="00683075">
        <w:t xml:space="preserve"> </w:t>
      </w:r>
      <w:r w:rsidRPr="00683075">
        <w:t>to najmä</w:t>
      </w:r>
      <w:r w:rsidR="003E557A">
        <w:t xml:space="preserve"> s </w:t>
      </w:r>
      <w:r w:rsidRPr="00683075">
        <w:t>exportom, ktorý vo viacerých mesiacoch</w:t>
      </w:r>
      <w:r w:rsidR="00BF0E04" w:rsidRPr="00683075">
        <w:t xml:space="preserve"> </w:t>
      </w:r>
      <w:r w:rsidRPr="00683075">
        <w:t>nebol taký presvedčivý ako</w:t>
      </w:r>
      <w:r w:rsidR="003E557A">
        <w:t xml:space="preserve"> v </w:t>
      </w:r>
      <w:r w:rsidRPr="00683075">
        <w:t>rokoch</w:t>
      </w:r>
      <w:r w:rsidR="00BF0E04" w:rsidRPr="00683075">
        <w:t xml:space="preserve"> </w:t>
      </w:r>
      <w:r w:rsidRPr="00683075">
        <w:t>2010 až 2012.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Priemyselná výroba nebola</w:t>
      </w:r>
      <w:r w:rsidR="003E557A">
        <w:t xml:space="preserve"> v </w:t>
      </w:r>
      <w:r w:rsidRPr="00683075">
        <w:t>tomto období</w:t>
      </w:r>
      <w:r w:rsidR="00BF0E04" w:rsidRPr="00683075">
        <w:t xml:space="preserve"> </w:t>
      </w:r>
      <w:r w:rsidRPr="00683075">
        <w:t>podporená ani zo strany dominantného automobilového</w:t>
      </w:r>
      <w:r w:rsidR="00BF0E04" w:rsidRPr="00683075">
        <w:t xml:space="preserve"> </w:t>
      </w:r>
      <w:r w:rsidRPr="00683075">
        <w:t>priemyslu. Komplikovaná situácia</w:t>
      </w:r>
      <w:r w:rsidR="003E557A">
        <w:t xml:space="preserve"> v </w:t>
      </w:r>
      <w:r w:rsidRPr="00683075">
        <w:t>podnikovom sektore</w:t>
      </w:r>
      <w:r w:rsidR="003E557A">
        <w:t xml:space="preserve"> v </w:t>
      </w:r>
      <w:r w:rsidRPr="00683075">
        <w:t>prvom polroku je</w:t>
      </w:r>
      <w:r w:rsidR="00BF0E04" w:rsidRPr="00683075">
        <w:t xml:space="preserve"> </w:t>
      </w:r>
      <w:r w:rsidRPr="00683075">
        <w:t>zrejmá aj</w:t>
      </w:r>
      <w:r w:rsidR="003E557A">
        <w:t xml:space="preserve"> z </w:t>
      </w:r>
      <w:r w:rsidRPr="00683075">
        <w:t>vývoja indikátorov ekonomického</w:t>
      </w:r>
      <w:r w:rsidR="00BF0E04" w:rsidRPr="00683075">
        <w:t xml:space="preserve"> </w:t>
      </w:r>
      <w:proofErr w:type="spellStart"/>
      <w:r w:rsidRPr="00683075">
        <w:t>sentimentu</w:t>
      </w:r>
      <w:proofErr w:type="spellEnd"/>
      <w:r w:rsidRPr="00683075">
        <w:t>.</w:t>
      </w:r>
      <w:r w:rsidR="003E557A">
        <w:t xml:space="preserve"> v </w:t>
      </w:r>
      <w:r w:rsidRPr="00683075">
        <w:t>tomto období zaznamenal tento</w:t>
      </w:r>
      <w:r w:rsidR="00BF0E04" w:rsidRPr="00683075">
        <w:t xml:space="preserve"> </w:t>
      </w:r>
      <w:r w:rsidRPr="00683075">
        <w:t>ukazovateľ najhorší vývoj od polovice roka</w:t>
      </w:r>
      <w:r w:rsidR="00BF0E04" w:rsidRPr="00683075">
        <w:t xml:space="preserve"> </w:t>
      </w:r>
      <w:r w:rsidRPr="00683075">
        <w:t>2010.</w:t>
      </w:r>
    </w:p>
    <w:p w:rsidR="00820B6E" w:rsidRPr="00683075" w:rsidRDefault="00820B6E" w:rsidP="00683075">
      <w:r w:rsidRPr="00683075">
        <w:t>Na druhej strane, existujú aj pozitívne signály,</w:t>
      </w:r>
      <w:r w:rsidR="00BF0E04" w:rsidRPr="00683075">
        <w:t xml:space="preserve"> </w:t>
      </w:r>
      <w:r w:rsidRPr="00683075">
        <w:t>príkladom je ukazovateľ podnikateľskej dôvery</w:t>
      </w:r>
      <w:r w:rsidR="00BF0E04" w:rsidRPr="00683075">
        <w:t xml:space="preserve"> </w:t>
      </w:r>
      <w:r w:rsidRPr="00683075">
        <w:t>(podľa OECD), ktorý mierne vzrástol nielen na</w:t>
      </w:r>
      <w:r w:rsidR="00BF0E04" w:rsidRPr="00683075">
        <w:t xml:space="preserve"> </w:t>
      </w:r>
      <w:r w:rsidRPr="00683075">
        <w:t>Slovensku, ale aj u našich hlavných obchodných</w:t>
      </w:r>
      <w:r w:rsidR="00BF0E04" w:rsidRPr="00683075">
        <w:t xml:space="preserve"> </w:t>
      </w:r>
      <w:r w:rsidRPr="00683075">
        <w:t>partnerov.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Sprísnenie úverových štandardov pokračovalo</w:t>
      </w:r>
    </w:p>
    <w:p w:rsidR="00EC7744" w:rsidRPr="00683075" w:rsidRDefault="00820B6E" w:rsidP="00683075">
      <w:r w:rsidRPr="00683075">
        <w:t>Podobne ako</w:t>
      </w:r>
      <w:r w:rsidR="003E557A">
        <w:t xml:space="preserve"> v </w:t>
      </w:r>
      <w:r w:rsidRPr="00683075">
        <w:t>prípade slabnutia dopytu po</w:t>
      </w:r>
      <w:r w:rsidR="00BF0E04" w:rsidRPr="00683075">
        <w:t xml:space="preserve"> </w:t>
      </w:r>
      <w:r w:rsidRPr="00683075">
        <w:t>úveroch,</w:t>
      </w:r>
      <w:r w:rsidR="003E557A">
        <w:t xml:space="preserve"> v </w:t>
      </w:r>
      <w:r w:rsidRPr="00683075">
        <w:t>roku 2013 pokračoval aj trend mierneho</w:t>
      </w:r>
      <w:r w:rsidR="00BF0E04" w:rsidRPr="00683075">
        <w:t xml:space="preserve"> </w:t>
      </w:r>
      <w:r w:rsidRPr="00683075">
        <w:t>sprísňovania úverových štandardov. Prevládajúcim</w:t>
      </w:r>
      <w:r w:rsidR="00BF0E04" w:rsidRPr="00683075">
        <w:t xml:space="preserve"> </w:t>
      </w:r>
      <w:r w:rsidRPr="00683075">
        <w:t>faktorom boli negatívne očakávania</w:t>
      </w:r>
      <w:r w:rsidR="00BF0E04" w:rsidRPr="00683075">
        <w:t xml:space="preserve"> </w:t>
      </w:r>
      <w:r w:rsidRPr="00683075">
        <w:t>bánk ohľadom makroekonomickej situácie</w:t>
      </w:r>
      <w:r w:rsidR="00BF0E04" w:rsidRPr="00683075">
        <w:t xml:space="preserve"> </w:t>
      </w:r>
      <w:r w:rsidRPr="00683075">
        <w:t>alebo situácie</w:t>
      </w:r>
      <w:r w:rsidR="003E557A">
        <w:t xml:space="preserve"> v </w:t>
      </w:r>
      <w:r w:rsidRPr="00683075">
        <w:t>špecifickom odvetví. Sprísnenie</w:t>
      </w:r>
      <w:r w:rsidR="00BF0E04" w:rsidRPr="00683075">
        <w:t xml:space="preserve"> </w:t>
      </w:r>
      <w:r w:rsidRPr="00683075">
        <w:t>sa do veľkej miery týkalo úrokových marží</w:t>
      </w:r>
      <w:r w:rsidR="00BF0E04" w:rsidRPr="00683075">
        <w:t xml:space="preserve"> </w:t>
      </w:r>
      <w:r w:rsidRPr="00683075">
        <w:t>pre rizikovejšie úvery. Nárast marží bol pozorovaný</w:t>
      </w:r>
      <w:r w:rsidR="00BF0E04" w:rsidRPr="00683075">
        <w:t xml:space="preserve"> </w:t>
      </w:r>
      <w:r w:rsidRPr="00683075">
        <w:t>najmä pri malých úveroch, pričom stredne</w:t>
      </w:r>
      <w:r w:rsidR="00BF0E04" w:rsidRPr="00683075">
        <w:t xml:space="preserve"> </w:t>
      </w:r>
      <w:r w:rsidRPr="00683075">
        <w:t>veľké</w:t>
      </w:r>
      <w:r w:rsidR="003E557A">
        <w:t xml:space="preserve"> a </w:t>
      </w:r>
      <w:r w:rsidRPr="00683075">
        <w:t>najväčšie úvery sa vyvíjali stabilne.</w:t>
      </w:r>
      <w:r w:rsidR="00BF0E04" w:rsidRPr="00683075">
        <w:t xml:space="preserve"> </w:t>
      </w:r>
      <w:r w:rsidRPr="00683075">
        <w:t>Rozdiel vo výške úrokovej sadzby medzi úvermi</w:t>
      </w:r>
      <w:r w:rsidR="00BF0E04" w:rsidRPr="00683075">
        <w:t xml:space="preserve"> </w:t>
      </w:r>
      <w:r w:rsidRPr="00683075">
        <w:t>nad 1 mil. €</w:t>
      </w:r>
      <w:r w:rsidR="003E557A">
        <w:t xml:space="preserve"> a </w:t>
      </w:r>
      <w:r w:rsidRPr="00683075">
        <w:t>úvermi do 250 tis. € dosiahol</w:t>
      </w:r>
      <w:r w:rsidR="00BF0E04" w:rsidRPr="00683075">
        <w:t xml:space="preserve"> </w:t>
      </w:r>
      <w:r w:rsidRPr="00683075">
        <w:t>najvyššie hodnoty od roku 2009, pohyboval sa</w:t>
      </w:r>
      <w:r w:rsidR="00BF0E04" w:rsidRPr="00683075">
        <w:t xml:space="preserve"> </w:t>
      </w:r>
      <w:r w:rsidRPr="00683075">
        <w:t>na úrovni 3 p. b.</w:t>
      </w:r>
    </w:p>
    <w:p w:rsidR="00EC7744" w:rsidRPr="00683075" w:rsidRDefault="00820B6E" w:rsidP="00683075">
      <w:r w:rsidRPr="00683075">
        <w:t>Banky aj</w:t>
      </w:r>
      <w:r w:rsidR="003E557A">
        <w:t xml:space="preserve"> v </w:t>
      </w:r>
      <w:r w:rsidRPr="00683075">
        <w:t>tomto polroku uviedli1, že na úverové</w:t>
      </w:r>
      <w:r w:rsidR="00BF0E04" w:rsidRPr="00683075">
        <w:t xml:space="preserve"> </w:t>
      </w:r>
      <w:r w:rsidRPr="00683075">
        <w:t xml:space="preserve">štandardy </w:t>
      </w:r>
      <w:r w:rsidRPr="00683075">
        <w:lastRenderedPageBreak/>
        <w:t>nemala negatívny vplyv finančná</w:t>
      </w:r>
      <w:r w:rsidR="00BF0E04" w:rsidRPr="00683075">
        <w:t xml:space="preserve"> </w:t>
      </w:r>
      <w:r w:rsidRPr="00683075">
        <w:t>situácia jednotlivých bánk, keďže bankový sektor</w:t>
      </w:r>
      <w:r w:rsidR="00BF0E04" w:rsidRPr="00683075">
        <w:t xml:space="preserve"> </w:t>
      </w:r>
      <w:r w:rsidRPr="00683075">
        <w:t>disponuje dostatkom kapitálu</w:t>
      </w:r>
      <w:r w:rsidR="003E557A">
        <w:t xml:space="preserve"> a </w:t>
      </w:r>
      <w:r w:rsidRPr="00683075">
        <w:t>likvidity.</w:t>
      </w:r>
      <w:r w:rsidR="00BF0E04" w:rsidRPr="00683075">
        <w:t xml:space="preserve"> </w:t>
      </w:r>
      <w:r w:rsidRPr="00683075">
        <w:t>Práve dostatok kapitálu</w:t>
      </w:r>
      <w:r w:rsidR="003E557A">
        <w:t xml:space="preserve"> a </w:t>
      </w:r>
      <w:r w:rsidRPr="00683075">
        <w:t>likvidity je dôležitým</w:t>
      </w:r>
      <w:r w:rsidR="00BF0E04" w:rsidRPr="00683075">
        <w:t xml:space="preserve"> </w:t>
      </w:r>
      <w:r w:rsidRPr="00683075">
        <w:t>faktorom, ktorý</w:t>
      </w:r>
      <w:r w:rsidR="003E557A">
        <w:t xml:space="preserve"> v </w:t>
      </w:r>
      <w:r w:rsidRPr="00683075">
        <w:t>prípade zlepšenia ekonomického</w:t>
      </w:r>
      <w:r w:rsidR="00BF0E04" w:rsidRPr="00683075">
        <w:t xml:space="preserve"> </w:t>
      </w:r>
      <w:r w:rsidRPr="00683075">
        <w:t>vývoja umožní uvoľnenie úverových</w:t>
      </w:r>
      <w:r w:rsidR="00BF0E04" w:rsidRPr="00683075">
        <w:t xml:space="preserve"> </w:t>
      </w:r>
      <w:r w:rsidRPr="00683075">
        <w:t>štandardov.</w:t>
      </w:r>
    </w:p>
    <w:p w:rsidR="00EC7744" w:rsidRPr="00683075" w:rsidRDefault="00820B6E" w:rsidP="00D77337">
      <w:pPr>
        <w:pStyle w:val="zvyraznene"/>
      </w:pPr>
      <w:r w:rsidRPr="00683075">
        <w:t>Ďalšie spomaľovanie toku úverov</w:t>
      </w:r>
    </w:p>
    <w:p w:rsidR="00820B6E" w:rsidRPr="00683075" w:rsidRDefault="00820B6E" w:rsidP="00683075">
      <w:r w:rsidRPr="00683075">
        <w:t>V kontexte slabého dopytu</w:t>
      </w:r>
      <w:r w:rsidR="003E557A">
        <w:t xml:space="preserve"> a </w:t>
      </w:r>
      <w:r w:rsidRPr="00683075">
        <w:t>sprísnených úverových</w:t>
      </w:r>
      <w:r w:rsidR="00BF0E04" w:rsidRPr="00683075">
        <w:t xml:space="preserve"> </w:t>
      </w:r>
      <w:r w:rsidRPr="00683075">
        <w:t>štandardov pokračoval pokles úverov</w:t>
      </w:r>
      <w:r w:rsidR="00BF0E04" w:rsidRPr="00683075">
        <w:t xml:space="preserve"> </w:t>
      </w:r>
      <w:r w:rsidRPr="00683075">
        <w:t>podnikom. Za ostatných 20 mesiacov poklesli</w:t>
      </w:r>
      <w:r w:rsidR="00BF0E04" w:rsidRPr="00683075">
        <w:t xml:space="preserve"> </w:t>
      </w:r>
      <w:r w:rsidRPr="00683075">
        <w:t>úvery podnikom o viac ako 1,1 mld. €, alebo</w:t>
      </w:r>
      <w:r w:rsidR="00BF0E04" w:rsidRPr="00683075">
        <w:t xml:space="preserve"> </w:t>
      </w:r>
      <w:r w:rsidRPr="00683075">
        <w:t>o 7,6 %, čo je nominálne aj percentuálne viac</w:t>
      </w:r>
      <w:r w:rsidR="00BF0E04" w:rsidRPr="00683075">
        <w:t xml:space="preserve"> </w:t>
      </w:r>
      <w:r w:rsidRPr="00683075">
        <w:t>ako za prvých 20 mesiacov krízy</w:t>
      </w:r>
      <w:r w:rsidR="003E557A">
        <w:t xml:space="preserve"> v </w:t>
      </w:r>
      <w:r w:rsidRPr="00683075">
        <w:t>rokoch 2008</w:t>
      </w:r>
      <w:r w:rsidR="003E557A">
        <w:t xml:space="preserve"> a </w:t>
      </w:r>
      <w:r w:rsidRPr="00683075">
        <w:t>2009. Pokles úverov bol tak ako aj</w:t>
      </w:r>
      <w:r w:rsidR="003E557A">
        <w:t xml:space="preserve"> v </w:t>
      </w:r>
      <w:r w:rsidRPr="00683075">
        <w:t>minulom</w:t>
      </w:r>
      <w:r w:rsidR="00BF0E04" w:rsidRPr="00683075">
        <w:t xml:space="preserve"> </w:t>
      </w:r>
      <w:r w:rsidRPr="00683075">
        <w:t>období skôr plošného charakteru. Zaznamenala</w:t>
      </w:r>
      <w:r w:rsidR="00BF0E04" w:rsidRPr="00683075">
        <w:t xml:space="preserve"> </w:t>
      </w:r>
      <w:r w:rsidRPr="00683075">
        <w:t>ho väčšina odvetví aj bánk. Tým sa prehĺbil negatívny</w:t>
      </w:r>
      <w:r w:rsidR="00BF0E04" w:rsidRPr="00683075">
        <w:t xml:space="preserve"> </w:t>
      </w:r>
      <w:r w:rsidRPr="00683075">
        <w:t>trend poklesu významu trhu podnikových</w:t>
      </w:r>
      <w:r w:rsidR="00BF0E04" w:rsidRPr="00683075">
        <w:t xml:space="preserve"> </w:t>
      </w:r>
      <w:r w:rsidRPr="00683075">
        <w:t>úverov</w:t>
      </w:r>
      <w:r w:rsidR="003E557A">
        <w:t xml:space="preserve"> v </w:t>
      </w:r>
      <w:r w:rsidRPr="00683075">
        <w:t xml:space="preserve">bilancii domácich bánk. Navyše, </w:t>
      </w:r>
    </w:p>
    <w:p w:rsidR="00EC7744" w:rsidRPr="00683075" w:rsidRDefault="00820B6E" w:rsidP="00683075">
      <w:r w:rsidRPr="00683075">
        <w:t>význam úverov poskytnutých domácimi bankami</w:t>
      </w:r>
      <w:r w:rsidR="00BF0E04" w:rsidRPr="00683075">
        <w:t xml:space="preserve"> </w:t>
      </w:r>
      <w:r w:rsidRPr="00683075">
        <w:t>mierne klesol</w:t>
      </w:r>
      <w:r w:rsidR="003E557A">
        <w:t xml:space="preserve"> z </w:t>
      </w:r>
      <w:r w:rsidRPr="00683075">
        <w:t>pohľadu podnikov, ktoré</w:t>
      </w:r>
      <w:r w:rsidR="003E557A">
        <w:t xml:space="preserve"> v </w:t>
      </w:r>
      <w:r w:rsidRPr="00683075">
        <w:t>ostatných dvoch rokoch zvyšovali svoje záväzky</w:t>
      </w:r>
      <w:r w:rsidR="00BF0E04" w:rsidRPr="00683075">
        <w:t xml:space="preserve"> </w:t>
      </w:r>
      <w:r w:rsidRPr="00683075">
        <w:t>voči zahraničiu.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Relatívne slabú aktivitu na trhu úverov podnikom</w:t>
      </w:r>
      <w:r w:rsidR="00BF0E04" w:rsidRPr="00683075">
        <w:t xml:space="preserve"> </w:t>
      </w:r>
      <w:r w:rsidRPr="00683075">
        <w:t>potvrdzuje aj priebeh splácania</w:t>
      </w:r>
      <w:r w:rsidR="003E557A">
        <w:t xml:space="preserve"> a </w:t>
      </w:r>
      <w:r w:rsidRPr="00683075">
        <w:t xml:space="preserve">čerpania </w:t>
      </w:r>
    </w:p>
    <w:p w:rsidR="00EC7744" w:rsidRPr="00683075" w:rsidRDefault="00820B6E" w:rsidP="00683075">
      <w:r w:rsidRPr="00683075">
        <w:t>úverov. Vysoká miera prepojenia čerpania</w:t>
      </w:r>
      <w:r w:rsidR="003E557A">
        <w:t xml:space="preserve"> a </w:t>
      </w:r>
      <w:r w:rsidRPr="00683075">
        <w:t>splácania úverov</w:t>
      </w:r>
      <w:r w:rsidR="003E557A">
        <w:t xml:space="preserve"> v </w:t>
      </w:r>
      <w:r w:rsidRPr="00683075">
        <w:t>jednotlivých mesiacoch</w:t>
      </w:r>
      <w:r w:rsidR="00BF0E04" w:rsidRPr="00683075">
        <w:t xml:space="preserve"> </w:t>
      </w:r>
      <w:r w:rsidRPr="00683075">
        <w:t>(korelácia zmien na úrovni -0,87) nasvedčuje,</w:t>
      </w:r>
      <w:r w:rsidR="00BF0E04" w:rsidRPr="00683075">
        <w:t xml:space="preserve"> </w:t>
      </w:r>
      <w:r w:rsidRPr="00683075">
        <w:t>že úvery sú skôr obnovované existujúcimi</w:t>
      </w:r>
      <w:r w:rsidR="00BF0E04" w:rsidRPr="00683075">
        <w:t xml:space="preserve"> </w:t>
      </w:r>
      <w:r w:rsidRPr="00683075">
        <w:t>klientmi, než by boli poskytnuté novým subjektom.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Navyše, korelácia medzi čerpaním</w:t>
      </w:r>
      <w:r w:rsidR="003E557A">
        <w:t xml:space="preserve"> a </w:t>
      </w:r>
      <w:r w:rsidRPr="00683075">
        <w:t>splácaním</w:t>
      </w:r>
      <w:r w:rsidR="00BF0E04" w:rsidRPr="00683075">
        <w:t xml:space="preserve"> </w:t>
      </w:r>
      <w:r w:rsidRPr="00683075">
        <w:t>úverov je veľmi významná aj na úrovni individuálnych</w:t>
      </w:r>
      <w:r w:rsidR="00BF0E04" w:rsidRPr="00683075">
        <w:t xml:space="preserve"> </w:t>
      </w:r>
      <w:r w:rsidRPr="00683075">
        <w:t>bánk, najmä veľkých.</w:t>
      </w:r>
    </w:p>
    <w:p w:rsidR="00EC7744" w:rsidRPr="00683075" w:rsidRDefault="00820B6E" w:rsidP="00D77337">
      <w:pPr>
        <w:pStyle w:val="zvyraznene"/>
      </w:pPr>
      <w:r w:rsidRPr="00683075">
        <w:t>Vklady podnikov bez zásadnejších zmien</w:t>
      </w:r>
    </w:p>
    <w:p w:rsidR="00820B6E" w:rsidRPr="00683075" w:rsidRDefault="00820B6E" w:rsidP="00683075">
      <w:r w:rsidRPr="00683075">
        <w:t>Vývoj zostatkov na účtoch podnikov</w:t>
      </w:r>
      <w:r w:rsidR="003E557A">
        <w:t xml:space="preserve"> v </w:t>
      </w:r>
      <w:r w:rsidRPr="00683075">
        <w:t>prvom</w:t>
      </w:r>
      <w:r w:rsidR="00BF0E04" w:rsidRPr="00683075">
        <w:t xml:space="preserve"> </w:t>
      </w:r>
      <w:r w:rsidRPr="00683075">
        <w:t>polroku 2013 naviazal na predošlé obdobie. Pohyby</w:t>
      </w:r>
      <w:r w:rsidR="00BF0E04" w:rsidRPr="00683075">
        <w:t xml:space="preserve"> </w:t>
      </w:r>
      <w:r w:rsidRPr="00683075">
        <w:t>nenaznačovali zmeny</w:t>
      </w:r>
      <w:r w:rsidR="003E557A">
        <w:t xml:space="preserve"> v </w:t>
      </w:r>
      <w:r w:rsidRPr="00683075">
        <w:t>trendoch, išlo skôr</w:t>
      </w:r>
      <w:r w:rsidR="00BF0E04" w:rsidRPr="00683075">
        <w:t xml:space="preserve"> </w:t>
      </w:r>
      <w:r w:rsidRPr="00683075">
        <w:t xml:space="preserve">o bežnú </w:t>
      </w:r>
      <w:proofErr w:type="spellStart"/>
      <w:r w:rsidRPr="00683075">
        <w:t>volatilitu</w:t>
      </w:r>
      <w:proofErr w:type="spellEnd"/>
      <w:r w:rsidR="003E557A">
        <w:t xml:space="preserve"> a </w:t>
      </w:r>
      <w:r w:rsidRPr="00683075">
        <w:t>sezónne výkyvy.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Cenné papiere</w:t>
      </w:r>
    </w:p>
    <w:p w:rsidR="00EC7744" w:rsidRPr="00683075" w:rsidRDefault="00820B6E" w:rsidP="00D77337">
      <w:pPr>
        <w:pStyle w:val="zvyraznene"/>
      </w:pPr>
      <w:r w:rsidRPr="00683075">
        <w:t>Vývoj portfólia cenných papierov počas prvého</w:t>
      </w:r>
      <w:r w:rsidR="00BF0E04" w:rsidRPr="00683075">
        <w:t xml:space="preserve"> </w:t>
      </w:r>
      <w:r w:rsidRPr="00683075">
        <w:t>polroka bez výraznejších zmien</w:t>
      </w:r>
    </w:p>
    <w:p w:rsidR="00EC7744" w:rsidRPr="00683075" w:rsidRDefault="00820B6E" w:rsidP="00683075">
      <w:r w:rsidRPr="00683075">
        <w:t>V portfóliu cenných papierov sa</w:t>
      </w:r>
      <w:r w:rsidR="003E557A">
        <w:t xml:space="preserve"> z </w:t>
      </w:r>
      <w:r w:rsidRPr="00683075">
        <w:t>pohľadu sektora</w:t>
      </w:r>
      <w:r w:rsidR="00BF0E04" w:rsidRPr="00683075">
        <w:t xml:space="preserve"> </w:t>
      </w:r>
      <w:r w:rsidRPr="00683075">
        <w:t>ako celku neudiali výraznejšie zmeny počas prvého</w:t>
      </w:r>
      <w:r w:rsidR="00BF0E04" w:rsidRPr="00683075">
        <w:t xml:space="preserve"> </w:t>
      </w:r>
      <w:r w:rsidRPr="00683075">
        <w:t>polroka 2013. Slovenské štátne dlhopisy</w:t>
      </w:r>
      <w:r w:rsidR="003E557A">
        <w:t xml:space="preserve"> a </w:t>
      </w:r>
      <w:r w:rsidRPr="00683075">
        <w:t>pokladničné</w:t>
      </w:r>
      <w:r w:rsidR="00BF0E04" w:rsidRPr="00683075">
        <w:t xml:space="preserve"> </w:t>
      </w:r>
      <w:r w:rsidRPr="00683075">
        <w:t>poukážky tvoria naďalej dominantnú časť</w:t>
      </w:r>
      <w:r w:rsidR="00BF0E04" w:rsidRPr="00683075">
        <w:t xml:space="preserve"> </w:t>
      </w:r>
      <w:r w:rsidRPr="00683075">
        <w:t>portfólia (takmer 90 %), keď banky maturujúce dlhopisy</w:t>
      </w:r>
      <w:r w:rsidR="003E557A">
        <w:t xml:space="preserve"> a </w:t>
      </w:r>
      <w:r w:rsidRPr="00683075">
        <w:t>pokladničné poukážky postupne ku koncu</w:t>
      </w:r>
      <w:r w:rsidR="00BF0E04" w:rsidRPr="00683075">
        <w:t xml:space="preserve"> </w:t>
      </w:r>
      <w:r w:rsidRPr="00683075">
        <w:t>prvého polroka nahradili novými emisiami.</w:t>
      </w:r>
    </w:p>
    <w:p w:rsidR="00EC7744" w:rsidRPr="00683075" w:rsidRDefault="00820B6E" w:rsidP="00683075">
      <w:r w:rsidRPr="00683075">
        <w:t>V prípade ostatných krajín pokleslo vystavenie</w:t>
      </w:r>
      <w:r w:rsidR="00BF0E04" w:rsidRPr="00683075">
        <w:t xml:space="preserve"> </w:t>
      </w:r>
      <w:r w:rsidRPr="00683075">
        <w:t>voči Írsku, pričom sa zvýšilo vystavenie najmä</w:t>
      </w:r>
      <w:r w:rsidR="00BF0E04" w:rsidRPr="00683075">
        <w:t xml:space="preserve"> </w:t>
      </w:r>
      <w:r w:rsidRPr="00683075">
        <w:t>voči Taliansku</w:t>
      </w:r>
      <w:r w:rsidR="003E557A">
        <w:t xml:space="preserve"> a </w:t>
      </w:r>
      <w:r w:rsidRPr="00683075">
        <w:t>Cypru.</w:t>
      </w:r>
      <w:r w:rsidR="003E557A">
        <w:t xml:space="preserve"> v </w:t>
      </w:r>
      <w:r w:rsidRPr="00683075">
        <w:t>prvom prípade ide</w:t>
      </w:r>
      <w:r w:rsidR="00BF0E04" w:rsidRPr="00683075">
        <w:t xml:space="preserve"> </w:t>
      </w:r>
      <w:r w:rsidRPr="00683075">
        <w:t>o maturitu írskych štátnych dlhopisov,</w:t>
      </w:r>
      <w:r w:rsidR="003E557A">
        <w:t xml:space="preserve"> v </w:t>
      </w:r>
      <w:r w:rsidRPr="00683075">
        <w:t>druhom</w:t>
      </w:r>
      <w:r w:rsidR="00BF0E04" w:rsidRPr="00683075">
        <w:t xml:space="preserve"> </w:t>
      </w:r>
      <w:r w:rsidRPr="00683075">
        <w:t>prípade ide o investície do talianskych štátnych</w:t>
      </w:r>
      <w:r w:rsidR="00BF0E04" w:rsidRPr="00683075">
        <w:t xml:space="preserve"> </w:t>
      </w:r>
      <w:r w:rsidRPr="00683075">
        <w:t>dlhopisov</w:t>
      </w:r>
      <w:r w:rsidR="003E557A">
        <w:t xml:space="preserve"> a </w:t>
      </w:r>
      <w:r w:rsidRPr="00683075">
        <w:t>do zmeniek jednej spoločnosti zaregistrovanej</w:t>
      </w:r>
      <w:r w:rsidR="00BF0E04" w:rsidRPr="00683075">
        <w:t xml:space="preserve"> </w:t>
      </w:r>
      <w:r w:rsidRPr="00683075">
        <w:t>na Cypre.</w:t>
      </w:r>
    </w:p>
    <w:p w:rsidR="00EC7744" w:rsidRPr="00683075" w:rsidRDefault="00820B6E" w:rsidP="00683075">
      <w:r w:rsidRPr="00683075">
        <w:t>Z pohľadu portfóliového členenia naďalej dominuje</w:t>
      </w:r>
      <w:r w:rsidR="00BF0E04" w:rsidRPr="00683075">
        <w:t xml:space="preserve"> </w:t>
      </w:r>
      <w:r w:rsidRPr="00683075">
        <w:t>portfólio cenných papierov držaných</w:t>
      </w:r>
      <w:r w:rsidR="00BF0E04" w:rsidRPr="00683075">
        <w:t xml:space="preserve"> </w:t>
      </w:r>
      <w:r w:rsidRPr="00683075">
        <w:t>do splatnosti (HTM)</w:t>
      </w:r>
      <w:r w:rsidR="003E557A">
        <w:t xml:space="preserve"> s </w:t>
      </w:r>
      <w:r w:rsidRPr="00683075">
        <w:t>podielom takmer 60 %,</w:t>
      </w:r>
      <w:r w:rsidR="00BF0E04" w:rsidRPr="00683075">
        <w:t xml:space="preserve"> </w:t>
      </w:r>
      <w:r w:rsidRPr="00683075">
        <w:t xml:space="preserve">portfólio cenných papierov na predaj tvorí </w:t>
      </w:r>
      <w:r w:rsidRPr="00683075">
        <w:lastRenderedPageBreak/>
        <w:t>približne</w:t>
      </w:r>
      <w:r w:rsidR="00BF0E04" w:rsidRPr="00683075">
        <w:t xml:space="preserve"> </w:t>
      </w:r>
      <w:r w:rsidRPr="00683075">
        <w:t>tretinu celkového portfólia. Tieto podiely sú už</w:t>
      </w:r>
      <w:r w:rsidR="00BF0E04" w:rsidRPr="00683075">
        <w:t xml:space="preserve"> </w:t>
      </w:r>
      <w:r w:rsidRPr="00683075">
        <w:t>dlhodobejšie na približne konštantnej úrovni.</w:t>
      </w:r>
    </w:p>
    <w:p w:rsidR="00EC7744" w:rsidRPr="00683075" w:rsidRDefault="00820B6E" w:rsidP="00D77337">
      <w:pPr>
        <w:pStyle w:val="zvyraznene"/>
      </w:pPr>
      <w:r w:rsidRPr="00683075">
        <w:t>Banky aj počas prvého polroka 2013 emitovali</w:t>
      </w:r>
      <w:r w:rsidR="00BF0E04" w:rsidRPr="00683075">
        <w:t xml:space="preserve"> </w:t>
      </w:r>
      <w:r w:rsidRPr="00683075">
        <w:t>najmä hypotekárne záložné listy</w:t>
      </w:r>
    </w:p>
    <w:p w:rsidR="00EC7744" w:rsidRPr="00683075" w:rsidRDefault="00820B6E" w:rsidP="00683075">
      <w:r w:rsidRPr="00683075">
        <w:t>Počas prvého polroka,</w:t>
      </w:r>
      <w:r w:rsidR="003E557A">
        <w:t xml:space="preserve"> v </w:t>
      </w:r>
      <w:r w:rsidRPr="00683075">
        <w:t>súlade</w:t>
      </w:r>
      <w:r w:rsidR="003E557A">
        <w:t xml:space="preserve"> s </w:t>
      </w:r>
      <w:r w:rsidRPr="00683075">
        <w:t>dlhodobým</w:t>
      </w:r>
      <w:r w:rsidR="00BF0E04" w:rsidRPr="00683075">
        <w:t xml:space="preserve"> </w:t>
      </w:r>
      <w:r w:rsidRPr="00683075">
        <w:t>trendom, dominovala emisii cenných papierov</w:t>
      </w:r>
      <w:r w:rsidR="00BF0E04" w:rsidRPr="00683075">
        <w:t xml:space="preserve"> </w:t>
      </w:r>
      <w:r w:rsidRPr="00683075">
        <w:t>emisia hypotekárnych záložných listov (HZL).</w:t>
      </w:r>
      <w:r w:rsidR="00BF0E04" w:rsidRPr="00683075">
        <w:t xml:space="preserve"> </w:t>
      </w:r>
      <w:r w:rsidRPr="00683075">
        <w:t>HZL tvorili takmer 92</w:t>
      </w:r>
      <w:r w:rsidR="003E557A">
        <w:t xml:space="preserve"> % </w:t>
      </w:r>
      <w:r w:rsidRPr="00683075">
        <w:t>celkového objemu emitovaných</w:t>
      </w:r>
      <w:r w:rsidR="00BF0E04" w:rsidRPr="00683075">
        <w:t xml:space="preserve"> </w:t>
      </w:r>
      <w:r w:rsidRPr="00683075">
        <w:t>cenných papierov.</w:t>
      </w:r>
    </w:p>
    <w:p w:rsidR="00EC7744" w:rsidRPr="00683075" w:rsidRDefault="00820B6E" w:rsidP="00683075">
      <w:r w:rsidRPr="00683075">
        <w:t>Banky naďalej emitovali hypotekárne záložné</w:t>
      </w:r>
      <w:r w:rsidR="00BF0E04" w:rsidRPr="00683075">
        <w:t xml:space="preserve"> </w:t>
      </w:r>
      <w:r w:rsidRPr="00683075">
        <w:t>listy</w:t>
      </w:r>
      <w:r w:rsidR="003E557A">
        <w:t xml:space="preserve"> v </w:t>
      </w:r>
      <w:r w:rsidRPr="00683075">
        <w:t>súlade</w:t>
      </w:r>
      <w:r w:rsidR="003E557A">
        <w:t xml:space="preserve"> s </w:t>
      </w:r>
      <w:r w:rsidRPr="00683075">
        <w:t>vývojom objemu hypotekárnych</w:t>
      </w:r>
      <w:r w:rsidR="00BF0E04" w:rsidRPr="00683075">
        <w:t xml:space="preserve"> </w:t>
      </w:r>
      <w:r w:rsidRPr="00683075">
        <w:t>úverov</w:t>
      </w:r>
      <w:r w:rsidR="003E557A">
        <w:t xml:space="preserve"> a </w:t>
      </w:r>
      <w:r w:rsidRPr="00683075">
        <w:t>objemom maturujúcich HZL. Podobne,</w:t>
      </w:r>
      <w:r w:rsidR="00BF0E04" w:rsidRPr="00683075">
        <w:t xml:space="preserve"> </w:t>
      </w:r>
      <w:r w:rsidRPr="00683075">
        <w:t>všetky banky spĺňali zákonom stanovenú minimálnu</w:t>
      </w:r>
      <w:r w:rsidR="00BF0E04" w:rsidRPr="00683075">
        <w:t xml:space="preserve"> </w:t>
      </w:r>
      <w:r w:rsidRPr="00683075">
        <w:t>hranicu krytia hypotekárnych úverov hypotekárnymi</w:t>
      </w:r>
      <w:r w:rsidR="00BF0E04" w:rsidRPr="00683075">
        <w:t xml:space="preserve"> </w:t>
      </w:r>
      <w:r w:rsidRPr="00683075">
        <w:t>záložnými listami, aj keď priemerné</w:t>
      </w:r>
      <w:r w:rsidR="00BF0E04" w:rsidRPr="00683075">
        <w:t xml:space="preserve"> </w:t>
      </w:r>
      <w:r w:rsidRPr="00683075">
        <w:t>krytie pokleslo na prelome rokov 2012</w:t>
      </w:r>
      <w:r w:rsidR="003E557A">
        <w:t xml:space="preserve"> a </w:t>
      </w:r>
      <w:r w:rsidRPr="00683075">
        <w:t>2013</w:t>
      </w:r>
      <w:r w:rsidR="003E557A">
        <w:t xml:space="preserve"> a </w:t>
      </w:r>
      <w:r w:rsidRPr="00683075">
        <w:t>pohybuje sa na mierne nižších úrovniach ako</w:t>
      </w:r>
      <w:r w:rsidR="003E557A">
        <w:t xml:space="preserve"> v </w:t>
      </w:r>
      <w:r w:rsidRPr="00683075">
        <w:t>predchádzajúcich rokoch.</w:t>
      </w:r>
    </w:p>
    <w:p w:rsidR="00820B6E" w:rsidRPr="00683075" w:rsidRDefault="00820B6E" w:rsidP="00D77337">
      <w:pPr>
        <w:pStyle w:val="zvyraznene"/>
      </w:pPr>
      <w:r w:rsidRPr="00683075">
        <w:t>Pravdepodobne pod vplyvom nízkych výnosov</w:t>
      </w:r>
      <w:r w:rsidR="00BF0E04" w:rsidRPr="00683075">
        <w:t xml:space="preserve"> </w:t>
      </w:r>
      <w:r w:rsidRPr="00683075">
        <w:t>slovenských štátnych dlhopisov dominovali emisie</w:t>
      </w:r>
      <w:r w:rsidR="00BF0E04" w:rsidRPr="00683075">
        <w:t xml:space="preserve"> </w:t>
      </w:r>
      <w:r w:rsidRPr="00683075">
        <w:t>HZL</w:t>
      </w:r>
      <w:r w:rsidR="003E557A">
        <w:t xml:space="preserve"> s </w:t>
      </w:r>
      <w:r w:rsidRPr="00683075">
        <w:t>fixným kupónom</w:t>
      </w:r>
      <w:r w:rsidR="00BF0E04" w:rsidRPr="00683075">
        <w:t xml:space="preserve"> </w:t>
      </w:r>
    </w:p>
    <w:p w:rsidR="00EC7744" w:rsidRPr="00683075" w:rsidRDefault="00820B6E" w:rsidP="00683075">
      <w:r w:rsidRPr="00683075">
        <w:t>V prvom polroku 2012, podobne ako aj počas</w:t>
      </w:r>
      <w:r w:rsidR="00BF0E04" w:rsidRPr="00683075">
        <w:t xml:space="preserve"> </w:t>
      </w:r>
      <w:r w:rsidRPr="00683075">
        <w:t>roka 2012, banky emitovali najmä HZL</w:t>
      </w:r>
      <w:r w:rsidR="003E557A">
        <w:t xml:space="preserve"> s </w:t>
      </w:r>
      <w:r w:rsidRPr="00683075">
        <w:t>fixným</w:t>
      </w:r>
      <w:r w:rsidR="00BF0E04" w:rsidRPr="00683075">
        <w:t xml:space="preserve"> </w:t>
      </w:r>
      <w:r w:rsidRPr="00683075">
        <w:t>kupónom.</w:t>
      </w:r>
      <w:r w:rsidR="003E557A">
        <w:t xml:space="preserve"> v </w:t>
      </w:r>
      <w:r w:rsidRPr="00683075">
        <w:t>súlade</w:t>
      </w:r>
      <w:r w:rsidR="003E557A">
        <w:t xml:space="preserve"> s </w:t>
      </w:r>
      <w:r w:rsidRPr="00683075">
        <w:t>vývojom výnosov slovenských</w:t>
      </w:r>
      <w:r w:rsidR="00BF0E04" w:rsidRPr="00683075">
        <w:t xml:space="preserve"> </w:t>
      </w:r>
      <w:r w:rsidRPr="00683075">
        <w:t>štátnych dlhopisov klesali aj kupónové</w:t>
      </w:r>
      <w:r w:rsidR="00BF0E04" w:rsidRPr="00683075">
        <w:t xml:space="preserve"> </w:t>
      </w:r>
      <w:r w:rsidRPr="00683075">
        <w:t>výnosy HZL. Tento vývoj mohol byť aj dôvodom</w:t>
      </w:r>
      <w:r w:rsidR="00BF0E04" w:rsidRPr="00683075">
        <w:t xml:space="preserve"> </w:t>
      </w:r>
      <w:r w:rsidRPr="00683075">
        <w:t>emisií</w:t>
      </w:r>
      <w:r w:rsidR="003E557A">
        <w:t xml:space="preserve"> s </w:t>
      </w:r>
      <w:r w:rsidRPr="00683075">
        <w:t>fixným kupónom, keďže pri aktuálnych</w:t>
      </w:r>
      <w:r w:rsidR="00BF0E04" w:rsidRPr="00683075">
        <w:t xml:space="preserve"> </w:t>
      </w:r>
      <w:r w:rsidRPr="00683075">
        <w:t>nízkych výnosoch sa banky môžu týmto spôsobom</w:t>
      </w:r>
      <w:r w:rsidR="00BF0E04" w:rsidRPr="00683075">
        <w:t xml:space="preserve"> </w:t>
      </w:r>
      <w:r w:rsidRPr="00683075">
        <w:t>zabezpečiť voči riziku nárastu úrokových</w:t>
      </w:r>
      <w:r w:rsidR="00BF0E04" w:rsidRPr="00683075">
        <w:t xml:space="preserve"> </w:t>
      </w:r>
      <w:r w:rsidRPr="00683075">
        <w:t>sadzieb,</w:t>
      </w:r>
      <w:r w:rsidR="003E557A">
        <w:t xml:space="preserve"> a </w:t>
      </w:r>
      <w:r w:rsidRPr="00683075">
        <w:t>tým úrokových nákladov. Priemerná</w:t>
      </w:r>
      <w:r w:rsidR="00BF0E04" w:rsidRPr="00683075">
        <w:t xml:space="preserve"> </w:t>
      </w:r>
      <w:r w:rsidRPr="00683075">
        <w:t>maturita emitovaných HZL ostala</w:t>
      </w:r>
      <w:r w:rsidR="003E557A">
        <w:t xml:space="preserve"> v </w:t>
      </w:r>
      <w:r w:rsidRPr="00683075">
        <w:t>súlade</w:t>
      </w:r>
      <w:r w:rsidR="003E557A">
        <w:t xml:space="preserve"> s </w:t>
      </w:r>
      <w:r w:rsidRPr="00683075">
        <w:t>doterajším</w:t>
      </w:r>
      <w:r w:rsidR="00BF0E04" w:rsidRPr="00683075">
        <w:t xml:space="preserve"> </w:t>
      </w:r>
      <w:r w:rsidRPr="00683075">
        <w:t>trendom.</w:t>
      </w:r>
    </w:p>
    <w:p w:rsidR="00EC7744" w:rsidRPr="00683075" w:rsidRDefault="00820B6E" w:rsidP="00D77337">
      <w:pPr>
        <w:pStyle w:val="zvyraznene"/>
      </w:pPr>
      <w:r w:rsidRPr="00683075">
        <w:t>Medzibankový trh</w:t>
      </w:r>
    </w:p>
    <w:p w:rsidR="00EC7744" w:rsidRPr="00683075" w:rsidRDefault="00820B6E" w:rsidP="00D77337">
      <w:pPr>
        <w:pStyle w:val="zvyraznene"/>
      </w:pPr>
      <w:r w:rsidRPr="00683075">
        <w:t>Medzibankový trh bol ovplyvnený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>najmä splatením časti trojročných refinančných</w:t>
      </w:r>
      <w:r w:rsidR="00BF0E04" w:rsidRPr="00683075">
        <w:t xml:space="preserve"> </w:t>
      </w:r>
      <w:r w:rsidRPr="00683075">
        <w:t>operácií</w:t>
      </w:r>
      <w:r w:rsidR="003E557A">
        <w:t xml:space="preserve"> s </w:t>
      </w:r>
      <w:r w:rsidRPr="00683075">
        <w:t>ECB</w:t>
      </w:r>
    </w:p>
    <w:p w:rsidR="00EC7744" w:rsidRPr="00683075" w:rsidRDefault="00820B6E" w:rsidP="00683075">
      <w:r w:rsidRPr="00683075">
        <w:t>Vývoj medzibankových operácií bol počas prvého</w:t>
      </w:r>
      <w:r w:rsidR="00BF0E04" w:rsidRPr="00683075">
        <w:t xml:space="preserve"> </w:t>
      </w:r>
      <w:r w:rsidRPr="00683075">
        <w:t>polroka najviac ovplyvnený splatením časti</w:t>
      </w:r>
      <w:r w:rsidR="00BF0E04" w:rsidRPr="00683075">
        <w:t xml:space="preserve"> </w:t>
      </w:r>
      <w:r w:rsidRPr="00683075">
        <w:t>trojročných refinančných operácií</w:t>
      </w:r>
      <w:r w:rsidR="003E557A">
        <w:t xml:space="preserve"> s </w:t>
      </w:r>
      <w:r w:rsidRPr="00683075">
        <w:t>ECB, ktorými</w:t>
      </w:r>
      <w:r w:rsidR="00BF0E04" w:rsidRPr="00683075">
        <w:t xml:space="preserve"> </w:t>
      </w:r>
      <w:r w:rsidRPr="00683075">
        <w:t>banky disponovali od decembra 2011, resp.</w:t>
      </w:r>
      <w:r w:rsidR="00BF0E04" w:rsidRPr="00683075">
        <w:t xml:space="preserve"> </w:t>
      </w:r>
      <w:r w:rsidRPr="00683075">
        <w:t>od marca 2012.</w:t>
      </w:r>
      <w:r w:rsidR="003E557A">
        <w:t xml:space="preserve"> z </w:t>
      </w:r>
      <w:r w:rsidRPr="00683075">
        <w:t>celkového požičaného objemu</w:t>
      </w:r>
      <w:r w:rsidR="00BF0E04" w:rsidRPr="00683075">
        <w:t xml:space="preserve"> </w:t>
      </w:r>
      <w:r w:rsidRPr="00683075">
        <w:t>banky splatili od začiatku roka do konca júla</w:t>
      </w:r>
      <w:r w:rsidR="00BF0E04" w:rsidRPr="00683075">
        <w:t xml:space="preserve"> </w:t>
      </w:r>
      <w:r w:rsidRPr="00683075">
        <w:t>približne dve tretiny,</w:t>
      </w:r>
      <w:r w:rsidR="003E557A">
        <w:t xml:space="preserve"> z </w:t>
      </w:r>
      <w:r w:rsidRPr="00683075">
        <w:t>toho najväčšiu časť počas</w:t>
      </w:r>
      <w:r w:rsidR="00BF0E04" w:rsidRPr="00683075">
        <w:t xml:space="preserve"> </w:t>
      </w:r>
      <w:r w:rsidRPr="00683075">
        <w:t>februára. Na splatenie zdrojov použili banky</w:t>
      </w:r>
      <w:r w:rsidR="00BF0E04" w:rsidRPr="00683075">
        <w:t xml:space="preserve"> </w:t>
      </w:r>
      <w:r w:rsidRPr="00683075">
        <w:t>do veľkej miery úvery od vlastnej skupiny, resp.</w:t>
      </w:r>
      <w:r w:rsidR="00BF0E04" w:rsidRPr="00683075">
        <w:t xml:space="preserve"> </w:t>
      </w:r>
      <w:r w:rsidRPr="00683075">
        <w:t>iné medzibankové zdroje</w:t>
      </w:r>
      <w:r w:rsidR="003E557A">
        <w:t xml:space="preserve"> a </w:t>
      </w:r>
      <w:r w:rsidRPr="00683075">
        <w:t>zdroje od klientov</w:t>
      </w:r>
      <w:r w:rsidR="00BF0E04" w:rsidRPr="00683075">
        <w:t xml:space="preserve"> </w:t>
      </w:r>
      <w:r w:rsidRPr="00683075">
        <w:t>(predovšetkým od verejnej správy).</w:t>
      </w:r>
      <w:r w:rsidR="003E557A">
        <w:t xml:space="preserve"> v </w:t>
      </w:r>
      <w:r w:rsidRPr="00683075">
        <w:t>menšej</w:t>
      </w:r>
      <w:r w:rsidR="00BF0E04" w:rsidRPr="00683075">
        <w:t xml:space="preserve"> </w:t>
      </w:r>
      <w:r w:rsidRPr="00683075">
        <w:t>miere bol pokles zdrojov od ECB sprevádzaný</w:t>
      </w:r>
      <w:r w:rsidR="00BF0E04" w:rsidRPr="00683075">
        <w:t xml:space="preserve"> </w:t>
      </w:r>
      <w:r w:rsidRPr="00683075">
        <w:t>poklesom medzibankových operácií na aktívnej</w:t>
      </w:r>
      <w:r w:rsidR="00BF0E04" w:rsidRPr="00683075">
        <w:t xml:space="preserve"> </w:t>
      </w:r>
      <w:r w:rsidRPr="00683075">
        <w:t>strane.</w:t>
      </w:r>
    </w:p>
    <w:p w:rsidR="00EC7744" w:rsidRPr="00683075" w:rsidRDefault="00820B6E" w:rsidP="00683075">
      <w:r w:rsidRPr="00683075">
        <w:t>Po prvotnom náraste zdrojov od vlastnej skupiny</w:t>
      </w:r>
      <w:r w:rsidR="00BF0E04" w:rsidRPr="00683075">
        <w:t xml:space="preserve"> </w:t>
      </w:r>
      <w:r w:rsidRPr="00683075">
        <w:t>vo februári bol priebeh zdrojov od bánk</w:t>
      </w:r>
      <w:r w:rsidR="00BF0E04" w:rsidRPr="00683075">
        <w:t xml:space="preserve"> </w:t>
      </w:r>
      <w:r w:rsidRPr="00683075">
        <w:t xml:space="preserve">pomerne </w:t>
      </w:r>
      <w:proofErr w:type="spellStart"/>
      <w:r w:rsidRPr="00683075">
        <w:t>volatilný</w:t>
      </w:r>
      <w:proofErr w:type="spellEnd"/>
      <w:r w:rsidRPr="00683075">
        <w:t>. Pokles</w:t>
      </w:r>
      <w:r w:rsidR="003E557A">
        <w:t xml:space="preserve"> v </w:t>
      </w:r>
      <w:r w:rsidRPr="00683075">
        <w:t>marci sprevádzaný</w:t>
      </w:r>
      <w:r w:rsidR="00BF0E04" w:rsidRPr="00683075">
        <w:t xml:space="preserve"> </w:t>
      </w:r>
      <w:r w:rsidRPr="00683075">
        <w:t>nárastom zdrojov od verejnej správy</w:t>
      </w:r>
      <w:r w:rsidR="003E557A">
        <w:t xml:space="preserve"> a </w:t>
      </w:r>
      <w:r w:rsidRPr="00683075">
        <w:t>maturitou</w:t>
      </w:r>
      <w:r w:rsidR="00BF0E04" w:rsidRPr="00683075">
        <w:t xml:space="preserve"> </w:t>
      </w:r>
      <w:r w:rsidRPr="00683075">
        <w:t>slovenských štátnych dlhopisov bol čiastočne</w:t>
      </w:r>
      <w:r w:rsidR="00BF0E04" w:rsidRPr="00683075">
        <w:t xml:space="preserve"> </w:t>
      </w:r>
      <w:r w:rsidRPr="00683075">
        <w:t>kompenzovaný</w:t>
      </w:r>
      <w:r w:rsidR="003E557A">
        <w:t xml:space="preserve"> v </w:t>
      </w:r>
      <w:r w:rsidRPr="00683075">
        <w:t>júni, keď naopak boli zdroje</w:t>
      </w:r>
      <w:r w:rsidR="00BF0E04" w:rsidRPr="00683075">
        <w:t xml:space="preserve"> </w:t>
      </w:r>
      <w:r w:rsidRPr="00683075">
        <w:t>od vlastnej skupiny použité na splatenie záväzkov</w:t>
      </w:r>
      <w:r w:rsidR="00BF0E04" w:rsidRPr="00683075">
        <w:t xml:space="preserve"> </w:t>
      </w:r>
      <w:r w:rsidRPr="00683075">
        <w:t>voči verejnej správe.</w:t>
      </w:r>
    </w:p>
    <w:p w:rsidR="00EC7744" w:rsidRPr="00683075" w:rsidRDefault="00820B6E" w:rsidP="00D77337">
      <w:pPr>
        <w:pStyle w:val="zvyraznene"/>
      </w:pPr>
      <w:r w:rsidRPr="00683075">
        <w:t>Implikované úrokové sadzby na domácom</w:t>
      </w:r>
      <w:r w:rsidR="00BF0E04" w:rsidRPr="00683075">
        <w:t xml:space="preserve"> </w:t>
      </w:r>
      <w:r w:rsidRPr="00683075">
        <w:t>medzibankovom trhu naďalej</w:t>
      </w:r>
      <w:r w:rsidR="003E557A">
        <w:t xml:space="preserve"> v </w:t>
      </w:r>
      <w:r w:rsidRPr="00683075">
        <w:t>súlade</w:t>
      </w:r>
      <w:r w:rsidR="003E557A">
        <w:t xml:space="preserve"> s </w:t>
      </w:r>
      <w:r w:rsidRPr="00683075">
        <w:t>vývojom</w:t>
      </w:r>
      <w:r w:rsidR="00BF0E04" w:rsidRPr="00683075">
        <w:t xml:space="preserve"> </w:t>
      </w:r>
      <w:r w:rsidRPr="00683075">
        <w:t>úrokových sadzieb EURIBOR</w:t>
      </w:r>
    </w:p>
    <w:p w:rsidR="00EC7744" w:rsidRPr="00683075" w:rsidRDefault="00820B6E" w:rsidP="00683075">
      <w:r w:rsidRPr="00683075">
        <w:t>Implikované úrokové sadzby na domácom medzibankovom</w:t>
      </w:r>
      <w:r w:rsidR="00BF0E04" w:rsidRPr="00683075">
        <w:t xml:space="preserve"> </w:t>
      </w:r>
      <w:r w:rsidRPr="00683075">
        <w:t>trhu sú naďalej</w:t>
      </w:r>
      <w:r w:rsidR="003E557A">
        <w:t xml:space="preserve"> v </w:t>
      </w:r>
      <w:r w:rsidRPr="00683075">
        <w:t>súlade</w:t>
      </w:r>
      <w:r w:rsidR="003E557A">
        <w:t xml:space="preserve"> s </w:t>
      </w:r>
      <w:r w:rsidRPr="00683075">
        <w:t>úrokovými</w:t>
      </w:r>
      <w:r w:rsidR="00BF0E04" w:rsidRPr="00683075">
        <w:t xml:space="preserve"> </w:t>
      </w:r>
      <w:r w:rsidRPr="00683075">
        <w:t xml:space="preserve">sadzbami EURIBOR </w:t>
      </w:r>
      <w:r w:rsidRPr="00683075">
        <w:lastRenderedPageBreak/>
        <w:t>najkratších splatností.</w:t>
      </w:r>
      <w:r w:rsidR="003E557A">
        <w:t xml:space="preserve"> v </w:t>
      </w:r>
      <w:r w:rsidRPr="00683075">
        <w:t>prípade implikovaných úrokových sadzieb</w:t>
      </w:r>
      <w:r w:rsidR="00BF0E04" w:rsidRPr="00683075">
        <w:t xml:space="preserve"> </w:t>
      </w:r>
      <w:r w:rsidRPr="00683075">
        <w:t>na vklady prijaté od zahraničných bánk došlo</w:t>
      </w:r>
      <w:r w:rsidR="003E557A">
        <w:t xml:space="preserve"> k </w:t>
      </w:r>
      <w:r w:rsidRPr="00683075">
        <w:t>nárastu po prepade</w:t>
      </w:r>
      <w:r w:rsidR="003E557A">
        <w:t xml:space="preserve"> v </w:t>
      </w:r>
      <w:r w:rsidRPr="00683075">
        <w:t>januári 2013. Kým</w:t>
      </w:r>
      <w:r w:rsidR="00BF0E04" w:rsidRPr="00683075">
        <w:t xml:space="preserve"> </w:t>
      </w:r>
      <w:r w:rsidRPr="00683075">
        <w:t>prvotný nárast je možné vysvetliť výrazným</w:t>
      </w:r>
      <w:r w:rsidR="00BF0E04" w:rsidRPr="00683075">
        <w:t xml:space="preserve"> </w:t>
      </w:r>
      <w:r w:rsidRPr="00683075">
        <w:t>poklesom objemu týchto zdrojov, keď ostali</w:t>
      </w:r>
      <w:r w:rsidR="00BF0E04" w:rsidRPr="00683075">
        <w:t xml:space="preserve"> </w:t>
      </w:r>
      <w:r w:rsidRPr="00683075">
        <w:t>iba zdroje</w:t>
      </w:r>
      <w:r w:rsidR="003E557A">
        <w:t xml:space="preserve"> s </w:t>
      </w:r>
      <w:r w:rsidRPr="00683075">
        <w:t>dlhšou splatnosťou,</w:t>
      </w:r>
      <w:r w:rsidR="003E557A">
        <w:t xml:space="preserve"> a </w:t>
      </w:r>
      <w:r w:rsidRPr="00683075">
        <w:t>tým pádom</w:t>
      </w:r>
      <w:r w:rsidR="00BF0E04" w:rsidRPr="00683075">
        <w:t xml:space="preserve"> </w:t>
      </w:r>
      <w:r w:rsidRPr="00683075">
        <w:t>vyššou sadzbou, nárast</w:t>
      </w:r>
      <w:r w:rsidR="003E557A">
        <w:t xml:space="preserve"> v </w:t>
      </w:r>
      <w:r w:rsidRPr="00683075">
        <w:t>júni bol spôsobený</w:t>
      </w:r>
      <w:r w:rsidR="00BF0E04" w:rsidRPr="00683075">
        <w:t xml:space="preserve"> </w:t>
      </w:r>
      <w:r w:rsidRPr="00683075">
        <w:t>nárastom sadzieb na zdroje prijaté od vlastnej</w:t>
      </w:r>
      <w:r w:rsidR="00BF0E04" w:rsidRPr="00683075">
        <w:t xml:space="preserve"> </w:t>
      </w:r>
      <w:r w:rsidRPr="00683075">
        <w:t>skupiny</w:t>
      </w:r>
      <w:r w:rsidR="003E557A">
        <w:t xml:space="preserve"> v </w:t>
      </w:r>
      <w:r w:rsidRPr="00683075">
        <w:t>prípade niektorých bánk. Tým pádom</w:t>
      </w:r>
      <w:r w:rsidR="00BF0E04" w:rsidRPr="00683075">
        <w:t xml:space="preserve"> </w:t>
      </w:r>
      <w:r w:rsidRPr="00683075">
        <w:t>sadzby ostali pomerne vysoké aj napriek nárastu</w:t>
      </w:r>
      <w:r w:rsidR="00BF0E04" w:rsidRPr="00683075">
        <w:t xml:space="preserve"> </w:t>
      </w:r>
      <w:r w:rsidRPr="00683075">
        <w:t>objemu týchto zdrojov, stále však nepresahujú</w:t>
      </w:r>
      <w:r w:rsidR="00BF0E04" w:rsidRPr="00683075">
        <w:t xml:space="preserve"> </w:t>
      </w:r>
      <w:r w:rsidRPr="00683075">
        <w:t xml:space="preserve">úroveň </w:t>
      </w:r>
      <w:proofErr w:type="spellStart"/>
      <w:r w:rsidRPr="00683075">
        <w:t>EURIBOR-u</w:t>
      </w:r>
      <w:proofErr w:type="spellEnd"/>
      <w:r w:rsidR="003E557A">
        <w:t xml:space="preserve"> s </w:t>
      </w:r>
      <w:r w:rsidRPr="00683075">
        <w:t>ročnou splatnosťou.</w:t>
      </w:r>
      <w:r w:rsidR="00BF0E04" w:rsidRPr="00683075">
        <w:t xml:space="preserve"> </w:t>
      </w:r>
    </w:p>
    <w:p w:rsidR="00EC7744" w:rsidRPr="00683075" w:rsidRDefault="00820B6E" w:rsidP="0002424C">
      <w:pPr>
        <w:pStyle w:val="Nadpis3"/>
      </w:pPr>
      <w:bookmarkStart w:id="8" w:name="_Toc376206542"/>
      <w:r w:rsidRPr="00683075">
        <w:t>Finančná pozícia bankového sektora</w:t>
      </w:r>
      <w:bookmarkEnd w:id="8"/>
    </w:p>
    <w:p w:rsidR="00820B6E" w:rsidRPr="00683075" w:rsidRDefault="00820B6E" w:rsidP="00683075">
      <w:r w:rsidRPr="00683075">
        <w:t>Ziskovosť bankového sektora sa medziročne zvýšila len mierne (o 5 %). Významnejšie sa však zmenila</w:t>
      </w:r>
      <w:r w:rsidR="00BF0E04" w:rsidRPr="00683075">
        <w:t xml:space="preserve"> </w:t>
      </w:r>
      <w:r w:rsidRPr="00683075">
        <w:t>jej štruktúra. Prostredie nízkych úrokových sadzieb prispelo</w:t>
      </w:r>
      <w:r w:rsidR="003E557A">
        <w:t xml:space="preserve"> k </w:t>
      </w:r>
      <w:r w:rsidRPr="00683075">
        <w:t>poklesu úrokovej výnosovosti aktív. Slabší</w:t>
      </w:r>
      <w:r w:rsidR="00BF0E04" w:rsidRPr="00683075">
        <w:t xml:space="preserve"> </w:t>
      </w:r>
      <w:r w:rsidRPr="00683075">
        <w:t>ekonomický rast bol jedným</w:t>
      </w:r>
      <w:r w:rsidR="003E557A">
        <w:t xml:space="preserve"> z </w:t>
      </w:r>
      <w:r w:rsidRPr="00683075">
        <w:t>hlavných faktorov nárastu nákladov na kreditné riziko, ktorý bol spojený</w:t>
      </w:r>
      <w:r w:rsidR="00BF0E04" w:rsidRPr="00683075">
        <w:t xml:space="preserve"> </w:t>
      </w:r>
      <w:r w:rsidRPr="00683075">
        <w:t>najmä so zhoršením kvality portfólia</w:t>
      </w:r>
      <w:r w:rsidR="003E557A">
        <w:t xml:space="preserve"> v </w:t>
      </w:r>
      <w:r w:rsidRPr="00683075">
        <w:t>sektore domácností. Zároveň pokračoval pokles objemu úverov</w:t>
      </w:r>
      <w:r w:rsidR="00BF0E04" w:rsidRPr="00683075">
        <w:t xml:space="preserve"> </w:t>
      </w:r>
      <w:r w:rsidRPr="00683075">
        <w:t>podnikovým klientom. Na druhej strane, tieto negatívne vplyvy boli do veľkej miery kompenzované</w:t>
      </w:r>
      <w:r w:rsidR="00BF0E04" w:rsidRPr="00683075">
        <w:t xml:space="preserve"> </w:t>
      </w:r>
      <w:r w:rsidRPr="00683075">
        <w:t>znížením nákladovosti zdrojov financovania sa bánk, pretrvávajúcim rastom úverov domácnostiam, ako aj</w:t>
      </w:r>
      <w:r w:rsidR="00BF0E04" w:rsidRPr="00683075">
        <w:t xml:space="preserve"> </w:t>
      </w:r>
      <w:r w:rsidRPr="00683075">
        <w:t>nárastom príjmov</w:t>
      </w:r>
      <w:r w:rsidR="003E557A">
        <w:t xml:space="preserve"> z </w:t>
      </w:r>
      <w:r w:rsidRPr="00683075">
        <w:t>obchodovania.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Banky si na účely zvýšenia objemu vlastných zdrojov ponechali približne štvrtinu zisku vykázaného</w:t>
      </w:r>
      <w:r w:rsidR="003E557A">
        <w:t xml:space="preserve"> v </w:t>
      </w:r>
      <w:r w:rsidRPr="00683075">
        <w:t>roku</w:t>
      </w:r>
      <w:r w:rsidR="00BF0E04" w:rsidRPr="00683075">
        <w:t xml:space="preserve"> </w:t>
      </w:r>
      <w:r w:rsidRPr="00683075">
        <w:t>2012, vďaka čomu sa opätovne zvýšila solventnosť bankového sektora</w:t>
      </w:r>
      <w:r w:rsidR="003E557A">
        <w:t xml:space="preserve"> a </w:t>
      </w:r>
      <w:r w:rsidRPr="00683075">
        <w:t>potvrdila sa tak schopnosť bánk</w:t>
      </w:r>
      <w:r w:rsidR="00BF0E04" w:rsidRPr="00683075">
        <w:t xml:space="preserve"> </w:t>
      </w:r>
      <w:r w:rsidRPr="00683075">
        <w:t>absorbovať prípadné externé alebo domáce riziká. Ukazovateľ primeranosti vlastných zdrojov dosiahol</w:t>
      </w:r>
      <w:r w:rsidR="00BF0E04" w:rsidRPr="00683075">
        <w:t xml:space="preserve"> </w:t>
      </w:r>
      <w:r w:rsidRPr="00683075">
        <w:t>hodnotu 16,2</w:t>
      </w:r>
      <w:r w:rsidR="003E557A">
        <w:t xml:space="preserve"> % a </w:t>
      </w:r>
      <w:r w:rsidRPr="00683075">
        <w:t>stúpol tak na najvyššiu hodnotu od roku 2005.</w:t>
      </w:r>
    </w:p>
    <w:p w:rsidR="00EC7744" w:rsidRPr="00683075" w:rsidRDefault="00820B6E" w:rsidP="00D77337">
      <w:pPr>
        <w:pStyle w:val="zvyraznene"/>
      </w:pPr>
      <w:r w:rsidRPr="00683075">
        <w:t>Ziskovosť</w:t>
      </w:r>
    </w:p>
    <w:p w:rsidR="00820B6E" w:rsidRPr="00683075" w:rsidRDefault="00820B6E" w:rsidP="00D77337">
      <w:pPr>
        <w:pStyle w:val="zvyraznene"/>
      </w:pPr>
      <w:r w:rsidRPr="00683075">
        <w:t>Mierny nárast ziskovosti bankového sektora</w:t>
      </w:r>
      <w:r w:rsidR="00BF0E04" w:rsidRPr="00683075">
        <w:t xml:space="preserve"> </w:t>
      </w:r>
    </w:p>
    <w:p w:rsidR="00EC7744" w:rsidRPr="00683075" w:rsidRDefault="00820B6E" w:rsidP="00683075">
      <w:r w:rsidRPr="00683075">
        <w:t>Čistý zisk bankového sektora dosiahnutý ku</w:t>
      </w:r>
      <w:r w:rsidR="00BF0E04" w:rsidRPr="00683075">
        <w:t xml:space="preserve"> </w:t>
      </w:r>
      <w:r w:rsidRPr="00683075">
        <w:t>koncu prvého polroka 2013</w:t>
      </w:r>
      <w:r w:rsidR="003E557A">
        <w:t xml:space="preserve"> v </w:t>
      </w:r>
      <w:r w:rsidRPr="00683075">
        <w:t>celkovej výške</w:t>
      </w:r>
      <w:r w:rsidR="00BF0E04" w:rsidRPr="00683075">
        <w:t xml:space="preserve"> </w:t>
      </w:r>
      <w:r w:rsidRPr="00683075">
        <w:t>288 mil. € predstavoval oproti rovnakému obdobiu</w:t>
      </w:r>
      <w:r w:rsidR="00BF0E04" w:rsidRPr="00683075">
        <w:t xml:space="preserve"> </w:t>
      </w:r>
      <w:r w:rsidRPr="00683075">
        <w:t>predchádzajúceho roka len mierny nárast</w:t>
      </w:r>
      <w:r w:rsidR="00BF0E04" w:rsidRPr="00683075">
        <w:t xml:space="preserve"> </w:t>
      </w:r>
      <w:r w:rsidRPr="00683075">
        <w:t>(o 5 %). Stratu vykázali dve banky</w:t>
      </w:r>
      <w:r w:rsidR="003E557A">
        <w:t xml:space="preserve"> a </w:t>
      </w:r>
      <w:r w:rsidRPr="00683075">
        <w:t>deväť pobočiek</w:t>
      </w:r>
      <w:r w:rsidR="00BF0E04" w:rsidRPr="00683075">
        <w:t xml:space="preserve"> </w:t>
      </w:r>
      <w:r w:rsidRPr="00683075">
        <w:t>zahraničných bánk.</w:t>
      </w:r>
    </w:p>
    <w:p w:rsidR="00EC7744" w:rsidRPr="00683075" w:rsidRDefault="00820B6E" w:rsidP="00683075">
      <w:r w:rsidRPr="00683075">
        <w:t>Napriek relatívne miernej medziročnej zmene</w:t>
      </w:r>
      <w:r w:rsidR="00BF0E04" w:rsidRPr="00683075">
        <w:t xml:space="preserve"> </w:t>
      </w:r>
      <w:r w:rsidRPr="00683075">
        <w:t>možno identifikovať viaceré významnejšie zmeny</w:t>
      </w:r>
      <w:r w:rsidR="003E557A">
        <w:t xml:space="preserve"> v </w:t>
      </w:r>
      <w:r w:rsidRPr="00683075">
        <w:t>štruktúre ziskovosti, ktoré odrážali aktuálny</w:t>
      </w:r>
      <w:r w:rsidR="00BF0E04" w:rsidRPr="00683075">
        <w:t xml:space="preserve"> </w:t>
      </w:r>
      <w:r w:rsidRPr="00683075">
        <w:t>vývoj</w:t>
      </w:r>
      <w:r w:rsidR="003E557A">
        <w:t xml:space="preserve"> v </w:t>
      </w:r>
      <w:r w:rsidRPr="00683075">
        <w:t>ekonomike SR. Najvýznamnejšou zmenou</w:t>
      </w:r>
      <w:r w:rsidR="00BF0E04" w:rsidRPr="00683075">
        <w:t xml:space="preserve"> </w:t>
      </w:r>
      <w:r w:rsidRPr="00683075">
        <w:t>bolo zníženie výnosovosti aktív, ktoré bolo</w:t>
      </w:r>
      <w:r w:rsidR="00BF0E04" w:rsidRPr="00683075">
        <w:t xml:space="preserve"> </w:t>
      </w:r>
      <w:r w:rsidRPr="00683075">
        <w:t>dôsledkom pretrvávajúceho obdobia nízkych</w:t>
      </w:r>
      <w:r w:rsidR="00BF0E04" w:rsidRPr="00683075">
        <w:t xml:space="preserve"> </w:t>
      </w:r>
      <w:r w:rsidRPr="00683075">
        <w:t>úrokových sadzieb. Navyše pokles ekonomickej</w:t>
      </w:r>
      <w:r w:rsidR="00BF0E04" w:rsidRPr="00683075">
        <w:t xml:space="preserve"> </w:t>
      </w:r>
      <w:r w:rsidRPr="00683075">
        <w:t>aktivity</w:t>
      </w:r>
      <w:r w:rsidR="003E557A">
        <w:t xml:space="preserve"> v </w:t>
      </w:r>
      <w:r w:rsidRPr="00683075">
        <w:t>eurozóne negatívne vplýval na hospodársku</w:t>
      </w:r>
      <w:r w:rsidR="00BF0E04" w:rsidRPr="00683075">
        <w:t xml:space="preserve"> </w:t>
      </w:r>
      <w:r w:rsidRPr="00683075">
        <w:t>situáciu</w:t>
      </w:r>
      <w:r w:rsidR="003E557A">
        <w:t xml:space="preserve"> v </w:t>
      </w:r>
      <w:r w:rsidRPr="00683075">
        <w:t>SR, čo prispelo</w:t>
      </w:r>
      <w:r w:rsidR="003E557A">
        <w:t xml:space="preserve"> k </w:t>
      </w:r>
      <w:r w:rsidRPr="00683075">
        <w:t>rastu nákladov</w:t>
      </w:r>
      <w:r w:rsidR="00BF0E04" w:rsidRPr="00683075">
        <w:t xml:space="preserve"> </w:t>
      </w:r>
      <w:r w:rsidRPr="00683075">
        <w:t>na kreditné riziko. Tieto negatívne vplyvy však</w:t>
      </w:r>
      <w:r w:rsidR="00BF0E04" w:rsidRPr="00683075">
        <w:t xml:space="preserve"> </w:t>
      </w:r>
      <w:r w:rsidRPr="00683075">
        <w:t>boli kompenzované príjmami</w:t>
      </w:r>
      <w:r w:rsidR="003E557A">
        <w:t xml:space="preserve"> z </w:t>
      </w:r>
      <w:r w:rsidRPr="00683075">
        <w:t>relatívne vysokého</w:t>
      </w:r>
      <w:r w:rsidR="00BF0E04" w:rsidRPr="00683075">
        <w:t xml:space="preserve"> </w:t>
      </w:r>
      <w:r w:rsidRPr="00683075">
        <w:t xml:space="preserve">rastu </w:t>
      </w:r>
      <w:proofErr w:type="spellStart"/>
      <w:r w:rsidRPr="00683075">
        <w:t>retailových</w:t>
      </w:r>
      <w:proofErr w:type="spellEnd"/>
      <w:r w:rsidRPr="00683075">
        <w:t xml:space="preserve"> úverov. Čiastočný pokles</w:t>
      </w:r>
      <w:r w:rsidR="00BF0E04" w:rsidRPr="00683075">
        <w:t xml:space="preserve"> </w:t>
      </w:r>
      <w:r w:rsidRPr="00683075">
        <w:t>úrokových sadzieb zároveň zvýšil hodnotu dlhopisov</w:t>
      </w:r>
      <w:r w:rsidR="003E557A">
        <w:t xml:space="preserve"> v </w:t>
      </w:r>
      <w:r w:rsidRPr="00683075">
        <w:t>portfóliách bánk.</w:t>
      </w:r>
      <w:r w:rsidR="00BF0E04" w:rsidRPr="00683075">
        <w:t xml:space="preserve"> </w:t>
      </w:r>
    </w:p>
    <w:p w:rsidR="00820B6E" w:rsidRPr="00683075" w:rsidRDefault="00820B6E" w:rsidP="00D77337">
      <w:pPr>
        <w:pStyle w:val="zvyraznene"/>
      </w:pPr>
      <w:r w:rsidRPr="00683075">
        <w:t>Výraznejšie sa zmenila štruktúra čistých úrokových</w:t>
      </w:r>
      <w:r w:rsidR="00BF0E04" w:rsidRPr="00683075">
        <w:t xml:space="preserve"> </w:t>
      </w:r>
      <w:r w:rsidRPr="00683075">
        <w:t>príjmov</w:t>
      </w:r>
      <w:r w:rsidR="00BF0E04" w:rsidRPr="00683075">
        <w:t xml:space="preserve"> </w:t>
      </w:r>
    </w:p>
    <w:p w:rsidR="00EC7744" w:rsidRPr="00683075" w:rsidRDefault="00820B6E" w:rsidP="00683075">
      <w:r w:rsidRPr="00683075">
        <w:t>Čisté úrokové príjmy bánk zostali medziročne</w:t>
      </w:r>
      <w:r w:rsidR="00BF0E04" w:rsidRPr="00683075">
        <w:t xml:space="preserve"> </w:t>
      </w:r>
      <w:r w:rsidRPr="00683075">
        <w:t>na takmer nezmenenej úrovni. Na tomto vývoji</w:t>
      </w:r>
      <w:r w:rsidR="00BF0E04" w:rsidRPr="00683075">
        <w:t xml:space="preserve"> </w:t>
      </w:r>
      <w:r w:rsidRPr="00683075">
        <w:t xml:space="preserve">sa podieľali viaceré </w:t>
      </w:r>
      <w:r w:rsidRPr="00683075">
        <w:lastRenderedPageBreak/>
        <w:t>faktory. Najvýznamnejším</w:t>
      </w:r>
      <w:r w:rsidR="00BF0E04" w:rsidRPr="00683075">
        <w:t xml:space="preserve"> </w:t>
      </w:r>
      <w:r w:rsidRPr="00683075">
        <w:t>bol pokles výnosovosti cenných papierov</w:t>
      </w:r>
      <w:r w:rsidR="00BF0E04" w:rsidRPr="00683075">
        <w:t xml:space="preserve"> </w:t>
      </w:r>
      <w:r w:rsidRPr="00683075">
        <w:t>(z 1,9</w:t>
      </w:r>
      <w:r w:rsidR="003E557A">
        <w:t xml:space="preserve"> % </w:t>
      </w:r>
      <w:r w:rsidRPr="00683075">
        <w:t>na 1,7 %), úverov podnikom (z 2,1</w:t>
      </w:r>
      <w:r w:rsidR="003E557A">
        <w:t xml:space="preserve"> % </w:t>
      </w:r>
      <w:r w:rsidRPr="00683075">
        <w:t xml:space="preserve">na 1,9 %), ako aj </w:t>
      </w:r>
      <w:proofErr w:type="spellStart"/>
      <w:r w:rsidRPr="00683075">
        <w:t>retailových</w:t>
      </w:r>
      <w:proofErr w:type="spellEnd"/>
      <w:r w:rsidRPr="00683075">
        <w:t xml:space="preserve"> úverov (z 3,3</w:t>
      </w:r>
      <w:r w:rsidR="003E557A">
        <w:t xml:space="preserve"> % </w:t>
      </w:r>
      <w:r w:rsidRPr="00683075">
        <w:t>na</w:t>
      </w:r>
      <w:r w:rsidR="00BF0E04" w:rsidRPr="00683075">
        <w:t xml:space="preserve"> </w:t>
      </w:r>
      <w:r w:rsidRPr="00683075">
        <w:t>3,2 %).</w:t>
      </w:r>
      <w:r w:rsidR="003E557A">
        <w:t xml:space="preserve"> v </w:t>
      </w:r>
      <w:r w:rsidRPr="00683075">
        <w:t>rámci portfólia cenných papierov bol</w:t>
      </w:r>
      <w:r w:rsidR="00BF0E04" w:rsidRPr="00683075">
        <w:t xml:space="preserve"> </w:t>
      </w:r>
      <w:r w:rsidRPr="00683075">
        <w:t>tento pokles zaznamenaný už aj počas druhého</w:t>
      </w:r>
      <w:r w:rsidR="00BF0E04" w:rsidRPr="00683075">
        <w:t xml:space="preserve"> </w:t>
      </w:r>
      <w:r w:rsidRPr="00683075">
        <w:t>polroka 2012. Vzhľadom na postupnú splatnosť</w:t>
      </w:r>
      <w:r w:rsidR="00BF0E04" w:rsidRPr="00683075">
        <w:t xml:space="preserve"> </w:t>
      </w:r>
      <w:r w:rsidRPr="00683075">
        <w:t>starších dlhopisov</w:t>
      </w:r>
      <w:r w:rsidR="003E557A">
        <w:t xml:space="preserve"> s </w:t>
      </w:r>
      <w:r w:rsidRPr="00683075">
        <w:t>vyšším úrokovým výnosom</w:t>
      </w:r>
      <w:r w:rsidR="003E557A">
        <w:t xml:space="preserve"> a </w:t>
      </w:r>
      <w:r w:rsidRPr="00683075">
        <w:t>ich nahrádzanie dlhopismi</w:t>
      </w:r>
      <w:r w:rsidR="003E557A">
        <w:t xml:space="preserve"> s </w:t>
      </w:r>
      <w:r w:rsidRPr="00683075">
        <w:t>nižšími výnosmi</w:t>
      </w:r>
      <w:r w:rsidR="00BF0E04" w:rsidRPr="00683075">
        <w:t xml:space="preserve"> </w:t>
      </w:r>
      <w:r w:rsidRPr="00683075">
        <w:t>sa očakáva pokračovanie tohto trendu aj</w:t>
      </w:r>
      <w:r w:rsidR="003E557A">
        <w:t xml:space="preserve"> v </w:t>
      </w:r>
      <w:r w:rsidRPr="00683075">
        <w:t>budúcnosti.</w:t>
      </w:r>
      <w:r w:rsidR="003E557A">
        <w:t xml:space="preserve"> v </w:t>
      </w:r>
      <w:r w:rsidRPr="00683075">
        <w:t>portfóliu podnikových úverov bol</w:t>
      </w:r>
      <w:r w:rsidR="00BF0E04" w:rsidRPr="00683075">
        <w:t xml:space="preserve"> </w:t>
      </w:r>
      <w:r w:rsidRPr="00683075">
        <w:t>významný medziročný pokles výnosovosti spôsobený</w:t>
      </w:r>
      <w:r w:rsidR="00BF0E04" w:rsidRPr="00683075">
        <w:t xml:space="preserve"> </w:t>
      </w:r>
      <w:r w:rsidRPr="00683075">
        <w:t>predovšetkým situáciou</w:t>
      </w:r>
      <w:r w:rsidR="003E557A">
        <w:t xml:space="preserve"> v </w:t>
      </w:r>
      <w:r w:rsidRPr="00683075">
        <w:t>druhom polroku</w:t>
      </w:r>
      <w:r w:rsidR="00BF0E04" w:rsidRPr="00683075">
        <w:t xml:space="preserve"> </w:t>
      </w:r>
      <w:r w:rsidRPr="00683075">
        <w:t>2012, zatiaľ čo počas prvého polroka 2013</w:t>
      </w:r>
      <w:r w:rsidR="00BF0E04" w:rsidRPr="00683075">
        <w:t xml:space="preserve"> </w:t>
      </w:r>
      <w:r w:rsidRPr="00683075">
        <w:t>bolo možné zaznamenať dokonca mierny nárast.</w:t>
      </w:r>
      <w:r w:rsidR="003E557A">
        <w:t xml:space="preserve"> v </w:t>
      </w:r>
      <w:r w:rsidRPr="00683075">
        <w:t>rámci portfólia podnikových úverov by mal byť</w:t>
      </w:r>
      <w:r w:rsidR="00BF0E04" w:rsidRPr="00683075">
        <w:t xml:space="preserve"> </w:t>
      </w:r>
      <w:r w:rsidRPr="00683075">
        <w:t>tlak na úrokové marže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inými typmi</w:t>
      </w:r>
      <w:r w:rsidR="00BF0E04" w:rsidRPr="00683075">
        <w:t xml:space="preserve"> </w:t>
      </w:r>
      <w:r w:rsidRPr="00683075">
        <w:t>aktív menej výrazný. Počas prvého polroka 2013</w:t>
      </w:r>
      <w:r w:rsidR="00BF0E04" w:rsidRPr="00683075">
        <w:t xml:space="preserve"> </w:t>
      </w:r>
      <w:r w:rsidRPr="00683075">
        <w:t>dokonca vzrástla marža na úvery menším spoločnostiam</w:t>
      </w:r>
      <w:r w:rsidR="003E557A">
        <w:t xml:space="preserve"> a </w:t>
      </w:r>
      <w:r w:rsidRPr="00683075">
        <w:t>jej rozdiel oproti úverom</w:t>
      </w:r>
      <w:r w:rsidR="003E557A">
        <w:t xml:space="preserve"> s </w:t>
      </w:r>
      <w:r w:rsidRPr="00683075">
        <w:t>vyšším</w:t>
      </w:r>
      <w:r w:rsidR="00BF0E04" w:rsidRPr="00683075">
        <w:t xml:space="preserve"> </w:t>
      </w:r>
      <w:r w:rsidRPr="00683075">
        <w:t>objemom sa výrazne zvýšil. Situácia je však odlišná</w:t>
      </w:r>
      <w:r w:rsidR="003E557A">
        <w:t xml:space="preserve"> v </w:t>
      </w:r>
      <w:r w:rsidRPr="00683075">
        <w:t xml:space="preserve">portfóliu úverov </w:t>
      </w:r>
      <w:proofErr w:type="spellStart"/>
      <w:r w:rsidRPr="00683075">
        <w:t>retailu</w:t>
      </w:r>
      <w:proofErr w:type="spellEnd"/>
      <w:r w:rsidRPr="00683075">
        <w:t>, kde sa negatívny</w:t>
      </w:r>
      <w:r w:rsidR="00BF0E04" w:rsidRPr="00683075">
        <w:t xml:space="preserve"> </w:t>
      </w:r>
      <w:r w:rsidRPr="00683075">
        <w:t>vplyv klesajúcej výnosovosti úverov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predchádzajúcim obdobím prehĺbil. Vzhľadom</w:t>
      </w:r>
      <w:r w:rsidR="00BF0E04" w:rsidRPr="00683075">
        <w:t xml:space="preserve"> </w:t>
      </w:r>
      <w:r w:rsidRPr="00683075">
        <w:t>na vyššiu dobu fixácie úrokových sadzieb pri</w:t>
      </w:r>
      <w:r w:rsidR="00BF0E04" w:rsidRPr="00683075">
        <w:t xml:space="preserve"> </w:t>
      </w:r>
      <w:proofErr w:type="spellStart"/>
      <w:r w:rsidRPr="00683075">
        <w:t>retailových</w:t>
      </w:r>
      <w:proofErr w:type="spellEnd"/>
      <w:r w:rsidRPr="00683075">
        <w:t xml:space="preserve"> úveroch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úvermi podnikom</w:t>
      </w:r>
      <w:r w:rsidR="003E557A">
        <w:t xml:space="preserve"> a </w:t>
      </w:r>
      <w:r w:rsidRPr="00683075">
        <w:t>trend výrazného poklesu úrokových sadzieb</w:t>
      </w:r>
      <w:r w:rsidR="00BF0E04" w:rsidRPr="00683075">
        <w:t xml:space="preserve"> </w:t>
      </w:r>
      <w:r w:rsidRPr="00683075">
        <w:t>na nové úvery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priemernými</w:t>
      </w:r>
      <w:r w:rsidR="00BF0E04" w:rsidRPr="00683075">
        <w:t xml:space="preserve"> </w:t>
      </w:r>
      <w:r w:rsidRPr="00683075">
        <w:t>sadzbami na celé portfólio možno očakávať, že</w:t>
      </w:r>
      <w:r w:rsidR="00BF0E04" w:rsidRPr="00683075">
        <w:t xml:space="preserve"> </w:t>
      </w:r>
      <w:r w:rsidRPr="00683075">
        <w:t xml:space="preserve">výnosnosť portfólia </w:t>
      </w:r>
      <w:proofErr w:type="spellStart"/>
      <w:r w:rsidRPr="00683075">
        <w:t>retailových</w:t>
      </w:r>
      <w:proofErr w:type="spellEnd"/>
      <w:r w:rsidRPr="00683075">
        <w:t xml:space="preserve"> úverov bude ďalej</w:t>
      </w:r>
      <w:r w:rsidR="00BF0E04" w:rsidRPr="00683075">
        <w:t xml:space="preserve"> </w:t>
      </w:r>
      <w:r w:rsidRPr="00683075">
        <w:t>klesať.</w:t>
      </w:r>
    </w:p>
    <w:p w:rsidR="00820B6E" w:rsidRPr="00683075" w:rsidRDefault="00820B6E" w:rsidP="00683075">
      <w:r w:rsidRPr="00683075">
        <w:t>Prostredie nízkych úrokových sadzieb však</w:t>
      </w:r>
      <w:r w:rsidR="00BF0E04" w:rsidRPr="00683075">
        <w:t xml:space="preserve"> </w:t>
      </w:r>
      <w:r w:rsidRPr="00683075">
        <w:t>okrem poklesu výnosnosti aktív prinieslo aj pokles</w:t>
      </w:r>
      <w:r w:rsidR="00BF0E04" w:rsidRPr="00683075">
        <w:t xml:space="preserve"> </w:t>
      </w:r>
      <w:r w:rsidRPr="00683075">
        <w:t>nákladovosti zdrojov</w:t>
      </w:r>
      <w:r w:rsidR="003E557A">
        <w:t xml:space="preserve"> a </w:t>
      </w:r>
      <w:r w:rsidRPr="00683075">
        <w:t>pomerne vysoký rast</w:t>
      </w:r>
      <w:r w:rsidR="00BF0E04" w:rsidRPr="00683075">
        <w:t xml:space="preserve"> </w:t>
      </w:r>
      <w:r w:rsidRPr="00683075">
        <w:t xml:space="preserve">na trhu </w:t>
      </w:r>
      <w:proofErr w:type="spellStart"/>
      <w:r w:rsidRPr="00683075">
        <w:t>retailových</w:t>
      </w:r>
      <w:proofErr w:type="spellEnd"/>
      <w:r w:rsidRPr="00683075">
        <w:t xml:space="preserve"> úverov. Tieto dva faktory plne</w:t>
      </w:r>
      <w:r w:rsidR="00BF0E04" w:rsidRPr="00683075">
        <w:t xml:space="preserve"> </w:t>
      </w:r>
      <w:r w:rsidRPr="00683075">
        <w:t>kompenzovali zníženie úrokových príjmov</w:t>
      </w:r>
      <w:r w:rsidR="003E557A">
        <w:t xml:space="preserve"> z </w:t>
      </w:r>
      <w:r w:rsidRPr="00683075">
        <w:t>dôvodu</w:t>
      </w:r>
      <w:r w:rsidR="00BF0E04" w:rsidRPr="00683075">
        <w:t xml:space="preserve"> </w:t>
      </w:r>
      <w:r w:rsidRPr="00683075">
        <w:t>poklesu výnosnosti. Zníženie nákladovosti</w:t>
      </w:r>
      <w:r w:rsidR="00BF0E04" w:rsidRPr="00683075">
        <w:t xml:space="preserve"> </w:t>
      </w:r>
      <w:r w:rsidRPr="00683075">
        <w:t>sa prejavilo najmä pri podnikových vkladoch</w:t>
      </w:r>
      <w:r w:rsidR="003E557A">
        <w:t xml:space="preserve"> a </w:t>
      </w:r>
      <w:r w:rsidRPr="00683075">
        <w:t>emitovaných cenných papieroch. Možnosť</w:t>
      </w:r>
      <w:r w:rsidR="00BF0E04" w:rsidRPr="00683075">
        <w:t xml:space="preserve"> </w:t>
      </w:r>
      <w:r w:rsidRPr="00683075">
        <w:t>pokračovania tohto trendu je však otázna, keďže</w:t>
      </w:r>
      <w:r w:rsidR="00BF0E04" w:rsidRPr="00683075">
        <w:t xml:space="preserve"> </w:t>
      </w:r>
      <w:r w:rsidRPr="00683075">
        <w:t>priestor na ďalšie znižovanie sadzieb je malý</w:t>
      </w:r>
      <w:r w:rsidR="00BF0E04" w:rsidRPr="00683075">
        <w:t xml:space="preserve"> </w:t>
      </w:r>
      <w:r w:rsidRPr="00683075">
        <w:t>(aktuálna priemerná sadzba podnikových vkladov</w:t>
      </w:r>
      <w:r w:rsidR="00BF0E04" w:rsidRPr="00683075">
        <w:t xml:space="preserve"> </w:t>
      </w:r>
      <w:r w:rsidRPr="00683075">
        <w:t xml:space="preserve">je 0,3 %). Na druhej strane, pri </w:t>
      </w:r>
      <w:proofErr w:type="spellStart"/>
      <w:r w:rsidRPr="00683075">
        <w:t>retailových</w:t>
      </w:r>
      <w:proofErr w:type="spellEnd"/>
      <w:r w:rsidR="00BF0E04" w:rsidRPr="00683075">
        <w:t xml:space="preserve"> </w:t>
      </w:r>
      <w:r w:rsidRPr="00683075">
        <w:t>vkladoch bol zaznamenaný skôr opačný trend.</w:t>
      </w:r>
      <w:r w:rsidR="00BF0E04" w:rsidRPr="00683075">
        <w:t xml:space="preserve"> </w:t>
      </w:r>
      <w:r w:rsidRPr="00683075">
        <w:t>Nákladovosť týchto vkladov sa počas prvého</w:t>
      </w:r>
      <w:r w:rsidR="00BF0E04" w:rsidRPr="00683075">
        <w:t xml:space="preserve"> </w:t>
      </w:r>
      <w:r w:rsidRPr="00683075">
        <w:t>polroka 2013 po jej poklese</w:t>
      </w:r>
      <w:r w:rsidR="003E557A">
        <w:t xml:space="preserve"> v </w:t>
      </w:r>
      <w:r w:rsidRPr="00683075">
        <w:t>roku 2012 mierne zvýšila. Dôvodom je najmä relatívne vysoká</w:t>
      </w:r>
      <w:r w:rsidR="00BF0E04" w:rsidRPr="00683075">
        <w:t xml:space="preserve"> </w:t>
      </w:r>
      <w:r w:rsidRPr="00683075">
        <w:t>konkurencia na tomto trhu, pričom sa zvýšila</w:t>
      </w:r>
      <w:r w:rsidR="00BF0E04" w:rsidRPr="00683075">
        <w:t xml:space="preserve"> </w:t>
      </w:r>
      <w:r w:rsidRPr="00683075">
        <w:t>časť vkladov, ktorú klienti presúvajú medzi jednotlivými</w:t>
      </w:r>
      <w:r w:rsidR="00BF0E04" w:rsidRPr="00683075">
        <w:t xml:space="preserve"> </w:t>
      </w:r>
      <w:r w:rsidRPr="00683075">
        <w:t>bankami</w:t>
      </w:r>
      <w:r w:rsidR="003E557A">
        <w:t xml:space="preserve"> s </w:t>
      </w:r>
      <w:r w:rsidRPr="00683075">
        <w:t>cieľom dosiahnuť vyšší</w:t>
      </w:r>
      <w:r w:rsidR="00BF0E04" w:rsidRPr="00683075">
        <w:t xml:space="preserve"> </w:t>
      </w:r>
      <w:r w:rsidRPr="00683075">
        <w:t>výnos. Vyššia miera týchto presunov je zároveň</w:t>
      </w:r>
      <w:r w:rsidR="00BF0E04" w:rsidRPr="00683075">
        <w:t xml:space="preserve"> </w:t>
      </w:r>
      <w:r w:rsidRPr="00683075">
        <w:t>dôsledkom postupného poklesu podielov terminovaných</w:t>
      </w:r>
      <w:r w:rsidR="00BF0E04" w:rsidRPr="00683075">
        <w:t xml:space="preserve"> </w:t>
      </w:r>
      <w:r w:rsidRPr="00683075">
        <w:t xml:space="preserve">vkladov na celkových </w:t>
      </w:r>
      <w:proofErr w:type="spellStart"/>
      <w:r w:rsidRPr="00683075">
        <w:t>retailových</w:t>
      </w:r>
      <w:proofErr w:type="spellEnd"/>
      <w:r w:rsidR="00BF0E04" w:rsidRPr="00683075">
        <w:t xml:space="preserve"> </w:t>
      </w:r>
      <w:r w:rsidRPr="00683075">
        <w:t>vkladoch, ktorý pretrváva od apríla 2012 (medziročný pokles tohto podielu bol</w:t>
      </w:r>
      <w:r w:rsidR="003E557A">
        <w:t xml:space="preserve"> z </w:t>
      </w:r>
      <w:r w:rsidRPr="00683075">
        <w:t>58</w:t>
      </w:r>
      <w:r w:rsidR="003E557A">
        <w:t xml:space="preserve"> % </w:t>
      </w:r>
      <w:r w:rsidRPr="00683075">
        <w:t>na 55 %).</w:t>
      </w:r>
      <w:r w:rsidR="00BF0E04" w:rsidRPr="00683075">
        <w:t xml:space="preserve"> </w:t>
      </w:r>
      <w:r w:rsidRPr="00683075">
        <w:t>Preto ani</w:t>
      </w:r>
      <w:r w:rsidR="003E557A">
        <w:t xml:space="preserve"> v </w:t>
      </w:r>
      <w:r w:rsidRPr="00683075">
        <w:t xml:space="preserve">segmente </w:t>
      </w:r>
      <w:proofErr w:type="spellStart"/>
      <w:r w:rsidRPr="00683075">
        <w:t>retailu</w:t>
      </w:r>
      <w:proofErr w:type="spellEnd"/>
      <w:r w:rsidRPr="00683075">
        <w:t xml:space="preserve"> nemožno</w:t>
      </w:r>
      <w:r w:rsidR="003E557A">
        <w:t xml:space="preserve"> v </w:t>
      </w:r>
      <w:r w:rsidRPr="00683075">
        <w:t>blízkej</w:t>
      </w:r>
      <w:r w:rsidR="00BF0E04" w:rsidRPr="00683075">
        <w:t xml:space="preserve"> </w:t>
      </w:r>
      <w:r w:rsidRPr="00683075">
        <w:t>budúcnosti očakávať významnejší pokles nákladovosti</w:t>
      </w:r>
      <w:r w:rsidR="00BF0E04" w:rsidRPr="00683075">
        <w:t xml:space="preserve"> </w:t>
      </w:r>
      <w:r w:rsidRPr="00683075">
        <w:t>vkladov.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Z hľadiska udržania úrokových výnosov sa preto</w:t>
      </w:r>
      <w:r w:rsidR="00BF0E04" w:rsidRPr="00683075">
        <w:t xml:space="preserve"> </w:t>
      </w:r>
      <w:r w:rsidRPr="00683075">
        <w:t>ako najvýznamnejší faktor javí rast úverov domácnostiam,</w:t>
      </w:r>
      <w:r w:rsidR="00BF0E04" w:rsidRPr="00683075">
        <w:t xml:space="preserve"> </w:t>
      </w:r>
      <w:r w:rsidRPr="00683075">
        <w:t>ktoré však bude do veľkej miery</w:t>
      </w:r>
      <w:r w:rsidR="00BF0E04" w:rsidRPr="00683075">
        <w:t xml:space="preserve"> </w:t>
      </w:r>
      <w:r w:rsidRPr="00683075">
        <w:t xml:space="preserve">závisieť na vývoji </w:t>
      </w:r>
      <w:proofErr w:type="spellStart"/>
      <w:r w:rsidRPr="00683075">
        <w:t>makroekonomiky</w:t>
      </w:r>
      <w:proofErr w:type="spellEnd"/>
      <w:r w:rsidRPr="00683075">
        <w:t>, situácie na</w:t>
      </w:r>
      <w:r w:rsidR="00BF0E04" w:rsidRPr="00683075">
        <w:t xml:space="preserve"> </w:t>
      </w:r>
      <w:r w:rsidRPr="00683075">
        <w:t>trhu úverov</w:t>
      </w:r>
      <w:r w:rsidR="003E557A">
        <w:t xml:space="preserve"> a </w:t>
      </w:r>
      <w:r w:rsidRPr="00683075">
        <w:t>úrokových sadzieb.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Okrem uvedených zmien zaznamenali banky</w:t>
      </w:r>
      <w:r w:rsidR="003E557A">
        <w:t xml:space="preserve"> v </w:t>
      </w:r>
      <w:r w:rsidRPr="00683075">
        <w:t xml:space="preserve">sektore </w:t>
      </w:r>
      <w:proofErr w:type="spellStart"/>
      <w:r w:rsidRPr="00683075">
        <w:t>retailu</w:t>
      </w:r>
      <w:proofErr w:type="spellEnd"/>
      <w:r w:rsidRPr="00683075">
        <w:t xml:space="preserve"> aj čiastočný nárast príjmov</w:t>
      </w:r>
      <w:r w:rsidR="003E557A">
        <w:t xml:space="preserve"> z </w:t>
      </w:r>
      <w:r w:rsidRPr="00683075">
        <w:t>poplatkov,</w:t>
      </w:r>
      <w:r w:rsidR="00BF0E04" w:rsidRPr="00683075">
        <w:t xml:space="preserve"> </w:t>
      </w:r>
      <w:r w:rsidRPr="00683075">
        <w:t>ktorý bol však nižší ako vplyv poklesu</w:t>
      </w:r>
      <w:r w:rsidR="00BF0E04" w:rsidRPr="00683075">
        <w:t xml:space="preserve"> </w:t>
      </w:r>
      <w:r w:rsidRPr="00683075">
        <w:t>úrokových marží.</w:t>
      </w:r>
      <w:r w:rsidR="003E557A">
        <w:t xml:space="preserve"> v </w:t>
      </w:r>
      <w:r w:rsidRPr="00683075">
        <w:t>prvom polroku 2013 bol</w:t>
      </w:r>
      <w:r w:rsidR="00BF0E04" w:rsidRPr="00683075">
        <w:t xml:space="preserve"> </w:t>
      </w:r>
      <w:r w:rsidRPr="00683075">
        <w:t>tento nárast spojený najmä</w:t>
      </w:r>
      <w:r w:rsidR="003E557A">
        <w:t xml:space="preserve"> s </w:t>
      </w:r>
      <w:r w:rsidRPr="00683075">
        <w:t>nárastom objemu</w:t>
      </w:r>
      <w:r w:rsidR="00BF0E04" w:rsidRPr="00683075">
        <w:t xml:space="preserve"> </w:t>
      </w:r>
      <w:r w:rsidRPr="00683075">
        <w:t>transakcií, pričom miera poplatkov zostala približne</w:t>
      </w:r>
      <w:r w:rsidR="00BF0E04" w:rsidRPr="00683075">
        <w:t xml:space="preserve"> </w:t>
      </w:r>
      <w:r w:rsidRPr="00683075">
        <w:t>stabilná.</w:t>
      </w:r>
      <w:r w:rsidR="003E557A">
        <w:t xml:space="preserve"> v </w:t>
      </w:r>
      <w:r w:rsidRPr="00683075">
        <w:t>sektore podnikov miera poplatkov</w:t>
      </w:r>
      <w:r w:rsidR="00BF0E04" w:rsidRPr="00683075">
        <w:t xml:space="preserve"> </w:t>
      </w:r>
      <w:r w:rsidRPr="00683075">
        <w:t xml:space="preserve">naopak </w:t>
      </w:r>
      <w:r w:rsidRPr="00683075">
        <w:lastRenderedPageBreak/>
        <w:t>medziročne poklesla.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Neúrokové príjmy</w:t>
      </w:r>
      <w:r w:rsidR="003E557A">
        <w:t xml:space="preserve"> v </w:t>
      </w:r>
      <w:r w:rsidRPr="00683075">
        <w:t>niektorých bankách vzrástli</w:t>
      </w:r>
    </w:p>
    <w:p w:rsidR="00EC7744" w:rsidRPr="00683075" w:rsidRDefault="00820B6E" w:rsidP="00683075">
      <w:r w:rsidRPr="00683075">
        <w:t>Z neúrokových príjmov zaznamenali na medziročnej</w:t>
      </w:r>
      <w:r w:rsidR="00BF0E04" w:rsidRPr="00683075">
        <w:t xml:space="preserve"> </w:t>
      </w:r>
      <w:r w:rsidRPr="00683075">
        <w:t>báze niektoré banky výrazný pokles straty,</w:t>
      </w:r>
      <w:r w:rsidR="00BF0E04" w:rsidRPr="00683075">
        <w:t xml:space="preserve"> </w:t>
      </w:r>
      <w:r w:rsidRPr="00683075">
        <w:t>príp. nárast príjmov</w:t>
      </w:r>
      <w:r w:rsidR="003E557A">
        <w:t xml:space="preserve"> z </w:t>
      </w:r>
      <w:r w:rsidRPr="00683075">
        <w:t>obchodovania. Najvýznamnejším</w:t>
      </w:r>
      <w:r w:rsidR="00BF0E04" w:rsidRPr="00683075">
        <w:t xml:space="preserve"> </w:t>
      </w:r>
      <w:r w:rsidRPr="00683075">
        <w:t>dôvodom bolo, že počas prvého polroka</w:t>
      </w:r>
      <w:r w:rsidR="00BF0E04" w:rsidRPr="00683075">
        <w:t xml:space="preserve"> </w:t>
      </w:r>
      <w:r w:rsidRPr="00683075">
        <w:t>2013 sa už neopakovala situácia</w:t>
      </w:r>
      <w:r w:rsidR="003E557A">
        <w:t xml:space="preserve"> z </w:t>
      </w:r>
      <w:r w:rsidRPr="00683075">
        <w:t>predchádzajúceho</w:t>
      </w:r>
      <w:r w:rsidR="00BF0E04" w:rsidRPr="00683075">
        <w:t xml:space="preserve"> </w:t>
      </w:r>
      <w:r w:rsidRPr="00683075">
        <w:t>roka, keď niektoré banky vykázali pomerne</w:t>
      </w:r>
      <w:r w:rsidR="00BF0E04" w:rsidRPr="00683075">
        <w:t xml:space="preserve"> </w:t>
      </w:r>
      <w:r w:rsidRPr="00683075">
        <w:t>významné straty</w:t>
      </w:r>
      <w:r w:rsidR="003E557A">
        <w:t xml:space="preserve"> z </w:t>
      </w:r>
      <w:r w:rsidRPr="00683075">
        <w:t>predaja rizikovejších cenných</w:t>
      </w:r>
      <w:r w:rsidR="00BF0E04" w:rsidRPr="00683075">
        <w:t xml:space="preserve"> </w:t>
      </w:r>
      <w:r w:rsidRPr="00683075">
        <w:t>papierov držaných</w:t>
      </w:r>
      <w:r w:rsidR="003E557A">
        <w:t xml:space="preserve"> v </w:t>
      </w:r>
      <w:r w:rsidRPr="00683075">
        <w:t>portfóliu na predaj, resp.</w:t>
      </w:r>
      <w:r w:rsidR="003E557A">
        <w:t xml:space="preserve"> z </w:t>
      </w:r>
      <w:r w:rsidRPr="00683075">
        <w:t>derivátov, ktoré boli držané na zabezpečenie</w:t>
      </w:r>
      <w:r w:rsidR="00BF0E04" w:rsidRPr="00683075">
        <w:t xml:space="preserve"> </w:t>
      </w:r>
      <w:r w:rsidRPr="00683075">
        <w:t>dlhopisov</w:t>
      </w:r>
      <w:r w:rsidR="003E557A">
        <w:t xml:space="preserve"> v </w:t>
      </w:r>
      <w:r w:rsidRPr="00683075">
        <w:t>portfóliu na predaj. Niektoré banky</w:t>
      </w:r>
      <w:r w:rsidR="00BF0E04" w:rsidRPr="00683075">
        <w:t xml:space="preserve"> </w:t>
      </w:r>
      <w:r w:rsidRPr="00683075">
        <w:t>zaznamenali relatívne významný pozitívny vplyv</w:t>
      </w:r>
      <w:r w:rsidR="00BF0E04" w:rsidRPr="00683075">
        <w:t xml:space="preserve"> </w:t>
      </w:r>
      <w:r w:rsidRPr="00683075">
        <w:t>nárastu príjmov</w:t>
      </w:r>
      <w:r w:rsidR="003E557A">
        <w:t xml:space="preserve"> z </w:t>
      </w:r>
      <w:r w:rsidRPr="00683075">
        <w:t>dividend</w:t>
      </w:r>
      <w:r w:rsidR="003E557A">
        <w:t xml:space="preserve"> z </w:t>
      </w:r>
      <w:r w:rsidRPr="00683075">
        <w:t>dcérskych spoločností.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V portfóliu úverov sa čiastočný nárast kreditného</w:t>
      </w:r>
      <w:r w:rsidR="00BF0E04" w:rsidRPr="00683075">
        <w:t xml:space="preserve"> </w:t>
      </w:r>
      <w:r w:rsidRPr="00683075">
        <w:t>rizika prejavil na zvýšení nákladov</w:t>
      </w:r>
    </w:p>
    <w:p w:rsidR="00820B6E" w:rsidRPr="00683075" w:rsidRDefault="00820B6E" w:rsidP="00683075">
      <w:r w:rsidRPr="00683075">
        <w:t>Negatívny vplyv na vývoj ziskovosti bánk mal</w:t>
      </w:r>
      <w:r w:rsidR="00BF0E04" w:rsidRPr="00683075">
        <w:t xml:space="preserve"> </w:t>
      </w:r>
      <w:r w:rsidRPr="00683075">
        <w:t>aj nárast nákladov na kreditné riziko, ktoré pri</w:t>
      </w:r>
      <w:r w:rsidR="00BF0E04" w:rsidRPr="00683075">
        <w:t xml:space="preserve"> </w:t>
      </w:r>
      <w:r w:rsidRPr="00683075">
        <w:t>medziročnom porovnaní vzrástli o 20 mil. € (t. j.</w:t>
      </w:r>
      <w:r w:rsidR="00BF0E04" w:rsidRPr="00683075">
        <w:t xml:space="preserve"> </w:t>
      </w:r>
      <w:r w:rsidRPr="00683075">
        <w:t>o 14 %). Tento vývoj súvisel najmä</w:t>
      </w:r>
      <w:r w:rsidR="003E557A">
        <w:t xml:space="preserve"> s </w:t>
      </w:r>
      <w:r w:rsidRPr="00683075">
        <w:t>tým, že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minulým rokom výraznejšie rástli</w:t>
      </w:r>
      <w:r w:rsidR="00BF0E04" w:rsidRPr="00683075">
        <w:t xml:space="preserve"> </w:t>
      </w:r>
      <w:r w:rsidRPr="00683075">
        <w:t xml:space="preserve">zlyhané úvery </w:t>
      </w:r>
      <w:proofErr w:type="spellStart"/>
      <w:r w:rsidRPr="00683075">
        <w:t>retailu</w:t>
      </w:r>
      <w:proofErr w:type="spellEnd"/>
      <w:r w:rsidRPr="00683075">
        <w:t>. Hrubý nárast zlyhaných</w:t>
      </w:r>
      <w:r w:rsidR="00BF0E04" w:rsidRPr="00683075">
        <w:t xml:space="preserve"> </w:t>
      </w:r>
      <w:proofErr w:type="spellStart"/>
      <w:r w:rsidRPr="00683075">
        <w:t>retailových</w:t>
      </w:r>
      <w:proofErr w:type="spellEnd"/>
      <w:r w:rsidRPr="00683075">
        <w:t xml:space="preserve"> úverov za prvý polrok 2013 (bez</w:t>
      </w:r>
      <w:r w:rsidR="00BF0E04" w:rsidRPr="00683075">
        <w:t xml:space="preserve"> </w:t>
      </w:r>
      <w:r w:rsidRPr="00683075">
        <w:t>zohľadnenia odpredaja</w:t>
      </w:r>
      <w:r w:rsidR="003E557A">
        <w:t xml:space="preserve"> a </w:t>
      </w:r>
      <w:r w:rsidRPr="00683075">
        <w:t>odpisov zlyhaných pohľadávok)</w:t>
      </w:r>
      <w:r w:rsidR="00BF0E04" w:rsidRPr="00683075">
        <w:t xml:space="preserve"> </w:t>
      </w:r>
      <w:r w:rsidRPr="00683075">
        <w:t>predstavoval 65</w:t>
      </w:r>
      <w:r w:rsidR="003E557A">
        <w:t xml:space="preserve"> % v </w:t>
      </w:r>
      <w:r w:rsidRPr="00683075">
        <w:t>porovnaní</w:t>
      </w:r>
      <w:r w:rsidR="003E557A">
        <w:t xml:space="preserve"> s </w:t>
      </w:r>
      <w:r w:rsidRPr="00683075">
        <w:t>celým</w:t>
      </w:r>
      <w:r w:rsidR="00BF0E04" w:rsidRPr="00683075">
        <w:t xml:space="preserve"> </w:t>
      </w:r>
      <w:r w:rsidRPr="00683075">
        <w:t>predchádzajúcim rokom. Na druhej strane,</w:t>
      </w:r>
      <w:r w:rsidR="003E557A">
        <w:t xml:space="preserve"> v </w:t>
      </w:r>
      <w:r w:rsidRPr="00683075">
        <w:t>portfóliu podnikových úverov možno hovoriť</w:t>
      </w:r>
      <w:r w:rsidR="00BF0E04" w:rsidRPr="00683075">
        <w:t xml:space="preserve"> </w:t>
      </w:r>
      <w:r w:rsidRPr="00683075">
        <w:t>skôr o zmiernení rastu objemu zlyhaných úverov.</w:t>
      </w:r>
      <w:r w:rsidR="00BF0E04" w:rsidRPr="00683075">
        <w:t xml:space="preserve"> </w:t>
      </w:r>
      <w:r w:rsidRPr="00683075">
        <w:t>To však súvisí predovšetkým</w:t>
      </w:r>
      <w:r w:rsidR="003E557A">
        <w:t xml:space="preserve"> s </w:t>
      </w:r>
      <w:r w:rsidRPr="00683075">
        <w:t>tým, že počas</w:t>
      </w:r>
      <w:r w:rsidR="00BF0E04" w:rsidRPr="00683075">
        <w:t xml:space="preserve"> </w:t>
      </w:r>
      <w:r w:rsidRPr="00683075">
        <w:t>prvého polroka 2013 sa neopakovala situácia</w:t>
      </w:r>
      <w:r w:rsidR="003E557A">
        <w:t xml:space="preserve"> z </w:t>
      </w:r>
      <w:r w:rsidRPr="00683075">
        <w:t>predchádzajúceho polroka, keď zlyhalo niekoľko</w:t>
      </w:r>
      <w:r w:rsidR="00BF0E04" w:rsidRPr="00683075">
        <w:t xml:space="preserve"> </w:t>
      </w:r>
      <w:r w:rsidRPr="00683075">
        <w:t xml:space="preserve">významných </w:t>
      </w:r>
      <w:proofErr w:type="spellStart"/>
      <w:r w:rsidRPr="00683075">
        <w:t>developerských</w:t>
      </w:r>
      <w:proofErr w:type="spellEnd"/>
      <w:r w:rsidRPr="00683075">
        <w:t xml:space="preserve"> projektov.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Z hľadiska miery budúceho rizika, ktoré predstavuje</w:t>
      </w:r>
      <w:r w:rsidR="00BF0E04" w:rsidRPr="00683075">
        <w:t xml:space="preserve"> </w:t>
      </w:r>
      <w:r w:rsidRPr="00683075">
        <w:t>aktuálne portfólio zlyhaných úverov, je</w:t>
      </w:r>
      <w:r w:rsidR="00BF0E04" w:rsidRPr="00683075">
        <w:t xml:space="preserve"> </w:t>
      </w:r>
      <w:r w:rsidRPr="00683075">
        <w:t>dôležitá miera ich pokrytia opravnými položkami,</w:t>
      </w:r>
      <w:r w:rsidR="00BF0E04" w:rsidRPr="00683075">
        <w:t xml:space="preserve"> </w:t>
      </w:r>
      <w:r w:rsidRPr="00683075">
        <w:t>prípadne odpočtom od kapitálu. Na úrovni</w:t>
      </w:r>
      <w:r w:rsidR="00BF0E04" w:rsidRPr="00683075">
        <w:t xml:space="preserve"> </w:t>
      </w:r>
      <w:r w:rsidRPr="00683075">
        <w:t>sektora ako celku bola ku koncu prvého polroka</w:t>
      </w:r>
      <w:r w:rsidR="00BF0E04" w:rsidRPr="00683075">
        <w:t xml:space="preserve"> </w:t>
      </w:r>
      <w:r w:rsidRPr="00683075">
        <w:t>2013 táto miera na úrovni 84 %, čo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koncom roka 2012 predstavuje pokles o 2 p. b.</w:t>
      </w:r>
      <w:r w:rsidR="00BF0E04" w:rsidRPr="00683075">
        <w:t xml:space="preserve"> </w:t>
      </w:r>
      <w:r w:rsidRPr="00683075">
        <w:t xml:space="preserve">Po zohľadnení hodnoty </w:t>
      </w:r>
      <w:proofErr w:type="spellStart"/>
      <w:r w:rsidRPr="00683075">
        <w:t>kolaterálu</w:t>
      </w:r>
      <w:proofErr w:type="spellEnd"/>
      <w:r w:rsidRPr="00683075">
        <w:t xml:space="preserve"> by sa táto</w:t>
      </w:r>
      <w:r w:rsidR="00BF0E04" w:rsidRPr="00683075">
        <w:t xml:space="preserve"> </w:t>
      </w:r>
      <w:r w:rsidRPr="00683075">
        <w:t>hodnota ešte zvýšila,</w:t>
      </w:r>
      <w:r w:rsidR="003E557A">
        <w:t xml:space="preserve"> a </w:t>
      </w:r>
      <w:r w:rsidRPr="00683075">
        <w:t>to až na 97 %. Na základe</w:t>
      </w:r>
      <w:r w:rsidR="00BF0E04" w:rsidRPr="00683075">
        <w:t xml:space="preserve"> </w:t>
      </w:r>
      <w:r w:rsidRPr="00683075">
        <w:t>týchto údajov možno predpokladať, že bankový</w:t>
      </w:r>
      <w:r w:rsidR="00BF0E04" w:rsidRPr="00683075">
        <w:t xml:space="preserve"> </w:t>
      </w:r>
      <w:r w:rsidRPr="00683075">
        <w:t>sektor by nemal byť vystavený zvýšenému riziku</w:t>
      </w:r>
      <w:r w:rsidR="00BF0E04" w:rsidRPr="00683075">
        <w:t xml:space="preserve"> </w:t>
      </w:r>
      <w:r w:rsidRPr="00683075">
        <w:t>dotvárania opravných položiek na existujúce</w:t>
      </w:r>
      <w:r w:rsidR="00BF0E04" w:rsidRPr="00683075">
        <w:t xml:space="preserve"> </w:t>
      </w:r>
      <w:r w:rsidRPr="00683075">
        <w:t>portfólio zlyhaných úverov.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Primeranosť vlastných</w:t>
      </w:r>
      <w:r w:rsidR="00BF0E04" w:rsidRPr="00683075">
        <w:t xml:space="preserve"> </w:t>
      </w:r>
      <w:r w:rsidRPr="00683075">
        <w:t>zdrojov</w:t>
      </w:r>
    </w:p>
    <w:p w:rsidR="00EC7744" w:rsidRPr="00683075" w:rsidRDefault="00820B6E" w:rsidP="00D77337">
      <w:pPr>
        <w:pStyle w:val="zvyraznene"/>
      </w:pPr>
      <w:r w:rsidRPr="00683075">
        <w:t>Primeranosť vlastných zdrojov vďaka ponechaniu</w:t>
      </w:r>
      <w:r w:rsidR="00BF0E04" w:rsidRPr="00683075">
        <w:t xml:space="preserve"> </w:t>
      </w:r>
      <w:r w:rsidRPr="00683075">
        <w:t>časti zisku</w:t>
      </w:r>
      <w:r w:rsidR="003E557A">
        <w:t xml:space="preserve"> z </w:t>
      </w:r>
      <w:r w:rsidRPr="00683075">
        <w:t>predchádzajúceho roka opätovne</w:t>
      </w:r>
      <w:r w:rsidR="00BF0E04" w:rsidRPr="00683075">
        <w:t xml:space="preserve"> </w:t>
      </w:r>
      <w:r w:rsidRPr="00683075">
        <w:t>vzrástla</w:t>
      </w:r>
    </w:p>
    <w:p w:rsidR="00EC7744" w:rsidRPr="00683075" w:rsidRDefault="00820B6E" w:rsidP="00683075">
      <w:r w:rsidRPr="00683075">
        <w:t>Primeranosť vlastných zdrojov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>2013 opätovne vzrástla (z 15,7</w:t>
      </w:r>
      <w:r w:rsidR="003E557A">
        <w:t xml:space="preserve"> % </w:t>
      </w:r>
      <w:r w:rsidRPr="00683075">
        <w:t>na 16,2 %)</w:t>
      </w:r>
      <w:r w:rsidR="003E557A">
        <w:t xml:space="preserve"> a </w:t>
      </w:r>
      <w:r w:rsidRPr="00683075">
        <w:t>potvrdila tak najvyššiu úroveň od roku 2005,</w:t>
      </w:r>
      <w:r w:rsidR="00BF0E04" w:rsidRPr="00683075">
        <w:t xml:space="preserve"> </w:t>
      </w:r>
      <w:r w:rsidRPr="00683075">
        <w:t>aj keď tento nárast bol výrazne menší ako</w:t>
      </w:r>
      <w:r w:rsidR="003E557A">
        <w:t xml:space="preserve"> v </w:t>
      </w:r>
      <w:r w:rsidRPr="00683075">
        <w:t>predchádzajúcom roku. Hlavným dôvodom</w:t>
      </w:r>
      <w:r w:rsidR="00BF0E04" w:rsidRPr="00683075">
        <w:t xml:space="preserve"> </w:t>
      </w:r>
      <w:r w:rsidRPr="00683075">
        <w:t>tohto nárastu bolo, že banky si ponechali na</w:t>
      </w:r>
      <w:r w:rsidR="00BF0E04" w:rsidRPr="00683075">
        <w:t xml:space="preserve"> </w:t>
      </w:r>
      <w:r w:rsidRPr="00683075">
        <w:t>zvýšenie vlastných zdrojov približne štvrtinu</w:t>
      </w:r>
      <w:r w:rsidR="00BF0E04" w:rsidRPr="00683075">
        <w:t xml:space="preserve"> </w:t>
      </w:r>
      <w:r w:rsidRPr="00683075">
        <w:t>zisku dosiahnutého</w:t>
      </w:r>
      <w:r w:rsidR="003E557A">
        <w:t xml:space="preserve"> v </w:t>
      </w:r>
      <w:r w:rsidRPr="00683075">
        <w:t>roku 2012. Podobný trend</w:t>
      </w:r>
      <w:r w:rsidR="00BF0E04" w:rsidRPr="00683075">
        <w:t xml:space="preserve"> </w:t>
      </w:r>
      <w:r w:rsidRPr="00683075">
        <w:t>sa prejavil aj</w:t>
      </w:r>
      <w:r w:rsidR="003E557A">
        <w:t xml:space="preserve"> v </w:t>
      </w:r>
      <w:r w:rsidRPr="00683075">
        <w:t>primeranosti základných vlastných</w:t>
      </w:r>
      <w:r w:rsidR="00BF0E04" w:rsidRPr="00683075">
        <w:t xml:space="preserve"> </w:t>
      </w:r>
      <w:r w:rsidRPr="00683075">
        <w:t>zdrojov, ktoré vzrástli zo 14,7</w:t>
      </w:r>
      <w:r w:rsidR="003E557A">
        <w:t xml:space="preserve"> % </w:t>
      </w:r>
      <w:r w:rsidRPr="00683075">
        <w:t>na 15,2 %.</w:t>
      </w:r>
      <w:r w:rsidR="003E557A">
        <w:t xml:space="preserve"> z </w:t>
      </w:r>
      <w:r w:rsidRPr="00683075">
        <w:t xml:space="preserve">hľadiska individuálnych bánk bola </w:t>
      </w:r>
      <w:r w:rsidRPr="00683075">
        <w:lastRenderedPageBreak/>
        <w:t>najnižšia</w:t>
      </w:r>
      <w:r w:rsidR="00BF0E04" w:rsidRPr="00683075">
        <w:t xml:space="preserve"> </w:t>
      </w:r>
      <w:r w:rsidRPr="00683075">
        <w:t>hodnota tohto ukazovateľa na úrovni 10,5 %.</w:t>
      </w:r>
      <w:r w:rsidR="00BF0E04" w:rsidRPr="00683075">
        <w:t xml:space="preserve"> </w:t>
      </w:r>
      <w:r w:rsidRPr="00683075">
        <w:t>Všetky banky tak prekračovali hodnotu, ktorú</w:t>
      </w:r>
      <w:r w:rsidR="00BF0E04" w:rsidRPr="00683075">
        <w:t xml:space="preserve"> </w:t>
      </w:r>
      <w:r w:rsidRPr="00683075">
        <w:t>NBS stanovila</w:t>
      </w:r>
      <w:r w:rsidR="003E557A">
        <w:t xml:space="preserve"> v </w:t>
      </w:r>
      <w:r w:rsidRPr="00683075">
        <w:t>Odporúčaní č. 1/2012 zo dňa</w:t>
      </w:r>
      <w:r w:rsidR="00BF0E04" w:rsidRPr="00683075">
        <w:t xml:space="preserve"> </w:t>
      </w:r>
      <w:r w:rsidRPr="00683075">
        <w:t>16. januára 2012 na podporu stability finančného sektora (9 %).</w:t>
      </w:r>
    </w:p>
    <w:p w:rsidR="00EC7744" w:rsidRPr="00683075" w:rsidRDefault="00820B6E" w:rsidP="00D77337">
      <w:pPr>
        <w:pStyle w:val="zvyraznene"/>
      </w:pPr>
      <w:r w:rsidRPr="00683075">
        <w:t>Ďalšie faktory ovplyvňujúce primeranosť</w:t>
      </w:r>
      <w:r w:rsidR="00BF0E04" w:rsidRPr="00683075">
        <w:t xml:space="preserve"> </w:t>
      </w:r>
      <w:r w:rsidRPr="00683075">
        <w:t>vlastných zdrojov boli menej významné</w:t>
      </w:r>
    </w:p>
    <w:p w:rsidR="00820B6E" w:rsidRPr="00683075" w:rsidRDefault="00820B6E" w:rsidP="00683075">
      <w:r w:rsidRPr="00683075">
        <w:t>Okrem ponechania časti zisku ovplyvňovali úroveň</w:t>
      </w:r>
      <w:r w:rsidR="00BF0E04" w:rsidRPr="00683075">
        <w:t xml:space="preserve"> </w:t>
      </w:r>
      <w:r w:rsidRPr="00683075">
        <w:t>primeranosti vlastných zdrojov aj ďalšie faktory.</w:t>
      </w:r>
      <w:r w:rsidR="00BF0E04" w:rsidRPr="00683075">
        <w:t xml:space="preserve"> </w:t>
      </w:r>
      <w:r w:rsidRPr="00683075">
        <w:t>Išlo najmä o pokles požiadavky na vlastné</w:t>
      </w:r>
      <w:r w:rsidR="00BF0E04" w:rsidRPr="00683075">
        <w:t xml:space="preserve"> </w:t>
      </w:r>
      <w:r w:rsidRPr="00683075">
        <w:t>zdroje, pokles nerealizovaných ziskov</w:t>
      </w:r>
      <w:r w:rsidR="003E557A">
        <w:t xml:space="preserve"> z </w:t>
      </w:r>
      <w:r w:rsidRPr="00683075">
        <w:t>portfólia</w:t>
      </w:r>
      <w:r w:rsidR="00BF0E04" w:rsidRPr="00683075">
        <w:t xml:space="preserve"> </w:t>
      </w:r>
      <w:r w:rsidRPr="00683075">
        <w:t>finančných nástrojov na predaj, zníženie nesúladu</w:t>
      </w:r>
      <w:r w:rsidR="00BF0E04" w:rsidRPr="00683075">
        <w:t xml:space="preserve"> </w:t>
      </w:r>
      <w:r w:rsidRPr="00683075">
        <w:t>medzi tvorbou opravných položiek</w:t>
      </w:r>
      <w:r w:rsidR="003E557A">
        <w:t xml:space="preserve"> a </w:t>
      </w:r>
      <w:r w:rsidRPr="00683075">
        <w:t>očakávanou</w:t>
      </w:r>
      <w:r w:rsidR="00BF0E04" w:rsidRPr="00683075">
        <w:t xml:space="preserve"> </w:t>
      </w:r>
      <w:r w:rsidRPr="00683075">
        <w:t>stratou</w:t>
      </w:r>
      <w:r w:rsidR="003E557A">
        <w:t xml:space="preserve"> a </w:t>
      </w:r>
      <w:r w:rsidRPr="00683075">
        <w:t>zníženie objemu podriadeného</w:t>
      </w:r>
      <w:r w:rsidR="00BF0E04" w:rsidRPr="00683075">
        <w:t xml:space="preserve"> </w:t>
      </w:r>
      <w:r w:rsidRPr="00683075">
        <w:t>dlhu. Individuálny vplyv žiadneho</w:t>
      </w:r>
      <w:r w:rsidR="003E557A">
        <w:t xml:space="preserve"> z </w:t>
      </w:r>
      <w:r w:rsidRPr="00683075">
        <w:t>týchto</w:t>
      </w:r>
      <w:r w:rsidR="00BF0E04" w:rsidRPr="00683075">
        <w:t xml:space="preserve"> </w:t>
      </w:r>
      <w:r w:rsidRPr="00683075">
        <w:t>faktorov na primeranosť vlastných zdrojov však</w:t>
      </w:r>
      <w:r w:rsidR="00BF0E04" w:rsidRPr="00683075">
        <w:t xml:space="preserve"> </w:t>
      </w:r>
      <w:r w:rsidRPr="00683075">
        <w:t>nebol vyšší ako 0,15 p. b. Pokles požiadavky na</w:t>
      </w:r>
      <w:r w:rsidR="00BF0E04" w:rsidRPr="00683075">
        <w:t xml:space="preserve"> </w:t>
      </w:r>
      <w:r w:rsidRPr="00683075">
        <w:t>vlastné zdroje sa týkal predovšetkým požiadavky</w:t>
      </w:r>
      <w:r w:rsidR="00BF0E04" w:rsidRPr="00683075">
        <w:t xml:space="preserve"> </w:t>
      </w:r>
      <w:r w:rsidRPr="00683075">
        <w:t xml:space="preserve">na </w:t>
      </w:r>
      <w:proofErr w:type="spellStart"/>
      <w:r w:rsidRPr="00683075">
        <w:t>retailové</w:t>
      </w:r>
      <w:proofErr w:type="spellEnd"/>
      <w:r w:rsidRPr="00683075">
        <w:t xml:space="preserve"> portfólio</w:t>
      </w:r>
      <w:r w:rsidR="003E557A">
        <w:t xml:space="preserve"> v </w:t>
      </w:r>
      <w:r w:rsidRPr="00683075">
        <w:t>bankách</w:t>
      </w:r>
      <w:r w:rsidR="003E557A">
        <w:t xml:space="preserve"> s </w:t>
      </w:r>
      <w:r w:rsidRPr="00683075">
        <w:t>pokročilým</w:t>
      </w:r>
      <w:r w:rsidR="00BF0E04" w:rsidRPr="00683075">
        <w:t xml:space="preserve"> </w:t>
      </w:r>
      <w:r w:rsidRPr="00683075">
        <w:t>prístupom merania rizika [</w:t>
      </w:r>
      <w:proofErr w:type="spellStart"/>
      <w:r w:rsidRPr="00683075">
        <w:t>internal</w:t>
      </w:r>
      <w:proofErr w:type="spellEnd"/>
      <w:r w:rsidRPr="00683075">
        <w:t xml:space="preserve"> rating </w:t>
      </w:r>
      <w:proofErr w:type="spellStart"/>
      <w:r w:rsidRPr="00683075">
        <w:t>based</w:t>
      </w:r>
      <w:proofErr w:type="spellEnd"/>
      <w:r w:rsidR="00BF0E04" w:rsidRPr="00683075">
        <w:t xml:space="preserve"> </w:t>
      </w:r>
      <w:proofErr w:type="spellStart"/>
      <w:r w:rsidRPr="00683075">
        <w:t>approach</w:t>
      </w:r>
      <w:proofErr w:type="spellEnd"/>
      <w:r w:rsidRPr="00683075">
        <w:t>], požiadavky na úrokové riziko, na akciové</w:t>
      </w:r>
      <w:r w:rsidR="00BF0E04" w:rsidRPr="00683075">
        <w:t xml:space="preserve"> </w:t>
      </w:r>
      <w:r w:rsidRPr="00683075">
        <w:t>riziko</w:t>
      </w:r>
      <w:r w:rsidR="003E557A">
        <w:t xml:space="preserve"> a </w:t>
      </w:r>
      <w:r w:rsidRPr="00683075">
        <w:t>na operačné riziko</w:t>
      </w:r>
      <w:r w:rsidR="003E557A">
        <w:t xml:space="preserve"> v </w:t>
      </w:r>
      <w:r w:rsidRPr="00683075">
        <w:t>bankách</w:t>
      </w:r>
      <w:r w:rsidR="003E557A">
        <w:t xml:space="preserve"> s </w:t>
      </w:r>
      <w:r w:rsidRPr="00683075">
        <w:t>pokročilým</w:t>
      </w:r>
      <w:r w:rsidR="00BF0E04" w:rsidRPr="00683075">
        <w:t xml:space="preserve"> </w:t>
      </w:r>
      <w:r w:rsidRPr="00683075">
        <w:t>prístupom [</w:t>
      </w:r>
      <w:proofErr w:type="spellStart"/>
      <w:r w:rsidRPr="00683075">
        <w:t>advanced</w:t>
      </w:r>
      <w:proofErr w:type="spellEnd"/>
      <w:r w:rsidRPr="00683075">
        <w:t xml:space="preserve"> </w:t>
      </w:r>
      <w:proofErr w:type="spellStart"/>
      <w:r w:rsidRPr="00683075">
        <w:t>measurement</w:t>
      </w:r>
      <w:proofErr w:type="spellEnd"/>
      <w:r w:rsidRPr="00683075">
        <w:t xml:space="preserve"> </w:t>
      </w:r>
      <w:proofErr w:type="spellStart"/>
      <w:r w:rsidRPr="00683075">
        <w:t>approach</w:t>
      </w:r>
      <w:proofErr w:type="spellEnd"/>
      <w:r w:rsidRPr="00683075">
        <w:t>]. Vývoj</w:t>
      </w:r>
      <w:r w:rsidR="003E557A">
        <w:t xml:space="preserve"> v </w:t>
      </w:r>
      <w:r w:rsidRPr="00683075">
        <w:t>oblasti objemu riziko vážených</w:t>
      </w:r>
      <w:r w:rsidR="00BF0E04" w:rsidRPr="00683075">
        <w:t xml:space="preserve"> </w:t>
      </w:r>
      <w:r w:rsidRPr="00683075">
        <w:t>aktív bol zároveň ovplyvnený poklesom objemu</w:t>
      </w:r>
      <w:r w:rsidR="00BF0E04" w:rsidRPr="00683075">
        <w:t xml:space="preserve"> </w:t>
      </w:r>
      <w:r w:rsidRPr="00683075">
        <w:t>úverov podnikom</w:t>
      </w:r>
      <w:r w:rsidR="003E557A">
        <w:t xml:space="preserve"> a </w:t>
      </w:r>
      <w:r w:rsidRPr="00683075">
        <w:t xml:space="preserve">pokračujúcim rastom </w:t>
      </w:r>
      <w:proofErr w:type="spellStart"/>
      <w:r w:rsidRPr="00683075">
        <w:t>retailových</w:t>
      </w:r>
      <w:proofErr w:type="spellEnd"/>
      <w:r w:rsidR="00BF0E04" w:rsidRPr="00683075">
        <w:t xml:space="preserve"> </w:t>
      </w:r>
      <w:r w:rsidRPr="00683075">
        <w:t>úverov.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Hodnota ukazovateľa finančnej páky je nad</w:t>
      </w:r>
      <w:r w:rsidR="00BF0E04" w:rsidRPr="00683075">
        <w:t xml:space="preserve"> </w:t>
      </w:r>
      <w:r w:rsidRPr="00683075">
        <w:t>európskym priemerom</w:t>
      </w:r>
    </w:p>
    <w:p w:rsidR="00EC7744" w:rsidRPr="00683075" w:rsidRDefault="00820B6E" w:rsidP="00683075">
      <w:r w:rsidRPr="00683075">
        <w:t>Jedným</w:t>
      </w:r>
      <w:r w:rsidR="003E557A">
        <w:t xml:space="preserve"> z </w:t>
      </w:r>
      <w:r w:rsidRPr="00683075">
        <w:t>nových ukazovateľov solventnosti</w:t>
      </w:r>
      <w:r w:rsidR="00BF0E04" w:rsidRPr="00683075">
        <w:t xml:space="preserve"> </w:t>
      </w:r>
      <w:r w:rsidRPr="00683075">
        <w:t>bánk, ktorý bol doplnený aj do bankovej regulácie</w:t>
      </w:r>
      <w:r w:rsidR="00BF0E04" w:rsidRPr="00683075">
        <w:t xml:space="preserve"> </w:t>
      </w:r>
      <w:r w:rsidRPr="00683075">
        <w:t>(zatiaľ len pre monitorovacie účely), je ukazovateľ</w:t>
      </w:r>
      <w:r w:rsidR="00BF0E04" w:rsidRPr="00683075">
        <w:t xml:space="preserve"> </w:t>
      </w:r>
      <w:r w:rsidRPr="00683075">
        <w:t>finančnej páky [</w:t>
      </w:r>
      <w:proofErr w:type="spellStart"/>
      <w:r w:rsidRPr="00683075">
        <w:t>leverage</w:t>
      </w:r>
      <w:proofErr w:type="spellEnd"/>
      <w:r w:rsidRPr="00683075">
        <w:t xml:space="preserve"> </w:t>
      </w:r>
      <w:proofErr w:type="spellStart"/>
      <w:r w:rsidRPr="00683075">
        <w:t>ratio</w:t>
      </w:r>
      <w:proofErr w:type="spellEnd"/>
      <w:r w:rsidRPr="00683075">
        <w:t>]. Ide o podiel</w:t>
      </w:r>
      <w:r w:rsidR="00BF0E04" w:rsidRPr="00683075">
        <w:t xml:space="preserve"> </w:t>
      </w:r>
      <w:r w:rsidRPr="00683075">
        <w:t>základných vlastných zdrojov</w:t>
      </w:r>
      <w:r w:rsidR="003E557A">
        <w:t xml:space="preserve"> k </w:t>
      </w:r>
      <w:r w:rsidRPr="00683075">
        <w:t>celkovej, rizikovo</w:t>
      </w:r>
      <w:r w:rsidR="00BF0E04" w:rsidRPr="00683075">
        <w:t xml:space="preserve"> </w:t>
      </w:r>
      <w:r w:rsidRPr="00683075">
        <w:t>neváženej hodnote expozícií. Táto hodnota expozícií</w:t>
      </w:r>
      <w:r w:rsidR="00BF0E04" w:rsidRPr="00683075">
        <w:t xml:space="preserve"> </w:t>
      </w:r>
      <w:r w:rsidRPr="00683075">
        <w:t>je vypočítaná približne ako súčet čistej</w:t>
      </w:r>
      <w:r w:rsidR="00BF0E04" w:rsidRPr="00683075">
        <w:t xml:space="preserve"> </w:t>
      </w:r>
      <w:r w:rsidRPr="00683075">
        <w:t>hodnoty aktív, poskytnutých záruk</w:t>
      </w:r>
      <w:r w:rsidR="003E557A">
        <w:t xml:space="preserve"> a </w:t>
      </w:r>
      <w:r w:rsidRPr="00683075">
        <w:t>neodvolateľných</w:t>
      </w:r>
      <w:r w:rsidR="00BF0E04" w:rsidRPr="00683075">
        <w:t xml:space="preserve"> </w:t>
      </w:r>
      <w:r w:rsidRPr="00683075">
        <w:t>úverových prísľubov, čiastočne zohľadňuje</w:t>
      </w:r>
      <w:r w:rsidR="00BF0E04" w:rsidRPr="00683075">
        <w:t xml:space="preserve"> </w:t>
      </w:r>
      <w:r w:rsidRPr="00683075">
        <w:t>aj deriváty</w:t>
      </w:r>
      <w:r w:rsidR="003E557A">
        <w:t xml:space="preserve"> a </w:t>
      </w:r>
      <w:r w:rsidRPr="00683075">
        <w:t>odvolateľné prísľuby. Zatiaľ</w:t>
      </w:r>
      <w:r w:rsidR="00BF0E04" w:rsidRPr="00683075">
        <w:t xml:space="preserve"> </w:t>
      </w:r>
      <w:r w:rsidRPr="00683075">
        <w:t>čo</w:t>
      </w:r>
      <w:r w:rsidR="003E557A">
        <w:t xml:space="preserve"> v </w:t>
      </w:r>
      <w:r w:rsidRPr="00683075">
        <w:t>diskusiách o budúcej minimálnej hodnote</w:t>
      </w:r>
      <w:r w:rsidR="00BF0E04" w:rsidRPr="00683075">
        <w:t xml:space="preserve"> </w:t>
      </w:r>
      <w:r w:rsidRPr="00683075">
        <w:t>tohto ukazovateľa sa najčastejšie hovorí o hranici</w:t>
      </w:r>
      <w:r w:rsidR="00BF0E04" w:rsidRPr="00683075">
        <w:t xml:space="preserve"> </w:t>
      </w:r>
      <w:r w:rsidRPr="00683075">
        <w:t>5 %, priemerná hodnota za slovenský bankový</w:t>
      </w:r>
      <w:r w:rsidR="00BF0E04" w:rsidRPr="00683075">
        <w:t xml:space="preserve"> </w:t>
      </w:r>
      <w:r w:rsidRPr="00683075">
        <w:t>sektor je približne na úrovni 7,5 %. Počas prvého polroka zaznamenala táto hodnota mierny rast</w:t>
      </w:r>
      <w:r w:rsidR="00BF0E04" w:rsidRPr="00683075">
        <w:t xml:space="preserve"> </w:t>
      </w:r>
      <w:r w:rsidRPr="00683075">
        <w:t>(približne o 0,2 p. b.) vďaka vyššie uvedenému</w:t>
      </w:r>
      <w:r w:rsidR="00BF0E04" w:rsidRPr="00683075">
        <w:t xml:space="preserve"> </w:t>
      </w:r>
      <w:r w:rsidRPr="00683075">
        <w:t>nárastu vlastných zdrojov</w:t>
      </w:r>
      <w:r w:rsidR="003E557A">
        <w:t xml:space="preserve"> v </w:t>
      </w:r>
      <w:r w:rsidRPr="00683075">
        <w:t>dôsledku ponechania</w:t>
      </w:r>
      <w:r w:rsidR="00BF0E04" w:rsidRPr="00683075">
        <w:t xml:space="preserve"> </w:t>
      </w:r>
      <w:r w:rsidRPr="00683075">
        <w:t>si časti zisku</w:t>
      </w:r>
      <w:r w:rsidR="003E557A">
        <w:t xml:space="preserve"> z </w:t>
      </w:r>
      <w:r w:rsidRPr="00683075">
        <w:t>predchádzajúceho roka.</w:t>
      </w:r>
      <w:r w:rsidR="003E557A">
        <w:t xml:space="preserve"> z </w:t>
      </w:r>
      <w:r w:rsidRPr="00683075">
        <w:t>hľadiska individuálnych bánk vo väčšine</w:t>
      </w:r>
      <w:r w:rsidR="003E557A">
        <w:t xml:space="preserve"> z </w:t>
      </w:r>
      <w:r w:rsidRPr="00683075">
        <w:t>nich</w:t>
      </w:r>
      <w:r w:rsidR="00BF0E04" w:rsidRPr="00683075">
        <w:t xml:space="preserve"> </w:t>
      </w:r>
      <w:r w:rsidRPr="00683075">
        <w:t>presahuje hodnota ukazovateľa finančnej páky</w:t>
      </w:r>
      <w:r w:rsidR="00BF0E04" w:rsidRPr="00683075">
        <w:t xml:space="preserve"> </w:t>
      </w:r>
      <w:r w:rsidRPr="00683075">
        <w:t>hodnotu 5 %. Na porovnanie, na základe monitorovania</w:t>
      </w:r>
      <w:r w:rsidR="00BF0E04" w:rsidRPr="00683075">
        <w:t xml:space="preserve"> </w:t>
      </w:r>
      <w:r w:rsidRPr="00683075">
        <w:t>solventnosti bánk</w:t>
      </w:r>
      <w:r w:rsidR="003E557A">
        <w:t xml:space="preserve"> v </w:t>
      </w:r>
      <w:r w:rsidRPr="00683075">
        <w:t>EÚ bola</w:t>
      </w:r>
      <w:r w:rsidR="003E557A">
        <w:t xml:space="preserve"> k </w:t>
      </w:r>
      <w:r w:rsidRPr="00683075">
        <w:t>31. decembru</w:t>
      </w:r>
      <w:r w:rsidR="00BF0E04" w:rsidRPr="00683075">
        <w:t xml:space="preserve"> </w:t>
      </w:r>
      <w:r w:rsidRPr="00683075">
        <w:t>2012 priemerná hodnota za banky</w:t>
      </w:r>
      <w:r w:rsidR="003E557A">
        <w:t xml:space="preserve"> v </w:t>
      </w:r>
      <w:r w:rsidRPr="00683075">
        <w:t>EÚ</w:t>
      </w:r>
      <w:r w:rsidR="00BF0E04" w:rsidRPr="00683075">
        <w:t xml:space="preserve"> </w:t>
      </w:r>
      <w:r w:rsidRPr="00683075">
        <w:t>blízko hodnoty 3 %. Slovenský bankový sektor</w:t>
      </w:r>
      <w:r w:rsidR="00BF0E04" w:rsidRPr="00683075">
        <w:t xml:space="preserve"> </w:t>
      </w:r>
      <w:r w:rsidRPr="00683075">
        <w:t>teda aj</w:t>
      </w:r>
      <w:r w:rsidR="003E557A">
        <w:t xml:space="preserve"> z </w:t>
      </w:r>
      <w:r w:rsidRPr="00683075">
        <w:t>hľadiska tohto ukazovateľa potvrdzuje</w:t>
      </w:r>
      <w:r w:rsidR="00BF0E04" w:rsidRPr="00683075">
        <w:t xml:space="preserve"> </w:t>
      </w:r>
      <w:r w:rsidRPr="00683075">
        <w:t>dostatočnú výšku sebestačnosti.</w:t>
      </w:r>
    </w:p>
    <w:p w:rsidR="00EC7744" w:rsidRPr="00683075" w:rsidRDefault="00820B6E" w:rsidP="0002424C">
      <w:pPr>
        <w:pStyle w:val="Nadpis2"/>
      </w:pPr>
      <w:bookmarkStart w:id="9" w:name="_Toc376206543"/>
      <w:r w:rsidRPr="00683075">
        <w:t>Sektor poisťovní</w:t>
      </w:r>
      <w:bookmarkEnd w:id="9"/>
    </w:p>
    <w:p w:rsidR="00EC7744" w:rsidRPr="00683075" w:rsidRDefault="00820B6E" w:rsidP="00683075">
      <w:r w:rsidRPr="00683075">
        <w:t>Ziskovosť poistného sektora sa medziročne významne nemenila</w:t>
      </w:r>
      <w:r w:rsidR="003E557A">
        <w:t xml:space="preserve"> a </w:t>
      </w:r>
      <w:r w:rsidRPr="00683075">
        <w:t>ostáva dostatočná. Solventnosť</w:t>
      </w:r>
      <w:r w:rsidR="00BF0E04" w:rsidRPr="00683075">
        <w:t xml:space="preserve"> </w:t>
      </w:r>
      <w:r w:rsidRPr="00683075">
        <w:t>poisťovní sa ku koncu roka 2012 výrazne zvýšila</w:t>
      </w:r>
      <w:r w:rsidR="003E557A">
        <w:t xml:space="preserve"> v </w:t>
      </w:r>
      <w:r w:rsidRPr="00683075">
        <w:t>dôsledku ziskov</w:t>
      </w:r>
      <w:r w:rsidR="003E557A">
        <w:t xml:space="preserve"> z </w:t>
      </w:r>
      <w:r w:rsidRPr="00683075">
        <w:t>precenenia cenných papierov</w:t>
      </w:r>
      <w:r w:rsidR="003E557A">
        <w:t xml:space="preserve"> v </w:t>
      </w:r>
      <w:r w:rsidRPr="00683075">
        <w:t>portfóliu na predaj. Tieto zisky</w:t>
      </w:r>
      <w:r w:rsidR="003E557A">
        <w:t xml:space="preserve"> v </w:t>
      </w:r>
      <w:r w:rsidRPr="00683075">
        <w:t>dôsledku klesajúcich úrokových sadzieb však slúžia ako vankúš</w:t>
      </w:r>
      <w:r w:rsidR="003E557A">
        <w:t xml:space="preserve"> v </w:t>
      </w:r>
      <w:r w:rsidRPr="00683075">
        <w:t>prípade nárastu úrokových sadzieb. Poisťovne by</w:t>
      </w:r>
      <w:r w:rsidR="003E557A">
        <w:t xml:space="preserve"> v </w:t>
      </w:r>
      <w:r w:rsidRPr="00683075">
        <w:t>budúcnosti mali vytvárať rezervy na straty</w:t>
      </w:r>
      <w:r w:rsidR="003E557A">
        <w:t xml:space="preserve"> z </w:t>
      </w:r>
      <w:r w:rsidRPr="00683075">
        <w:t>precenenia</w:t>
      </w:r>
      <w:r w:rsidR="003E557A">
        <w:t xml:space="preserve"> v </w:t>
      </w:r>
      <w:r w:rsidRPr="00683075">
        <w:t xml:space="preserve">dôsledku rastu úrokových sadzieb pre tie </w:t>
      </w:r>
      <w:r w:rsidRPr="00683075">
        <w:lastRenderedPageBreak/>
        <w:t>dlhopisy, ktoré</w:t>
      </w:r>
      <w:r w:rsidR="003E557A">
        <w:t xml:space="preserve"> v </w:t>
      </w:r>
      <w:r w:rsidRPr="00683075">
        <w:t>súčasnosti nakúpia do svojho</w:t>
      </w:r>
      <w:r w:rsidR="00BF0E04" w:rsidRPr="00683075">
        <w:t xml:space="preserve"> </w:t>
      </w:r>
      <w:r w:rsidRPr="00683075">
        <w:t>portfólia.</w:t>
      </w:r>
    </w:p>
    <w:p w:rsidR="00EC7744" w:rsidRPr="00683075" w:rsidRDefault="00820B6E" w:rsidP="00683075">
      <w:r w:rsidRPr="00683075">
        <w:t>V životnom poistení pokračuje rast technického poistného, zmenila sa však štruktúra medzi jednotlivými</w:t>
      </w:r>
      <w:r w:rsidR="00BF0E04" w:rsidRPr="00683075">
        <w:t xml:space="preserve"> </w:t>
      </w:r>
      <w:r w:rsidRPr="00683075">
        <w:t xml:space="preserve">odvetviami. Rast zaznamenalo klasické životné poistenie, kým </w:t>
      </w:r>
      <w:proofErr w:type="spellStart"/>
      <w:r w:rsidRPr="00683075">
        <w:t>unit-linked</w:t>
      </w:r>
      <w:proofErr w:type="spellEnd"/>
      <w:r w:rsidRPr="00683075">
        <w:t xml:space="preserve"> poistenie zaznamenalo</w:t>
      </w:r>
      <w:r w:rsidR="00BF0E04" w:rsidRPr="00683075">
        <w:t xml:space="preserve"> </w:t>
      </w:r>
      <w:r w:rsidRPr="00683075">
        <w:t>pokles technického poistného, prvý od roku 2009. Zatiaľ je však priskoro na vyvodenie záverov ohľadom</w:t>
      </w:r>
      <w:r w:rsidR="00BF0E04" w:rsidRPr="00683075">
        <w:t xml:space="preserve"> </w:t>
      </w:r>
      <w:r w:rsidRPr="00683075">
        <w:t>zmien vo vývoji životného poistenia. Objem</w:t>
      </w:r>
      <w:r w:rsidR="003E557A">
        <w:t xml:space="preserve"> a </w:t>
      </w:r>
      <w:r w:rsidRPr="00683075">
        <w:t xml:space="preserve">frekvencia </w:t>
      </w:r>
      <w:proofErr w:type="spellStart"/>
      <w:r w:rsidRPr="00683075">
        <w:t>odkupov</w:t>
      </w:r>
      <w:proofErr w:type="spellEnd"/>
      <w:r w:rsidRPr="00683075">
        <w:t xml:space="preserve"> pokračujú</w:t>
      </w:r>
      <w:r w:rsidR="003E557A">
        <w:t xml:space="preserve"> v </w:t>
      </w:r>
      <w:r w:rsidRPr="00683075">
        <w:t>raste, ale tempo rastu</w:t>
      </w:r>
      <w:r w:rsidR="00BF0E04" w:rsidRPr="00683075">
        <w:t xml:space="preserve"> </w:t>
      </w:r>
      <w:r w:rsidRPr="00683075">
        <w:t>spomaľuje.</w:t>
      </w:r>
    </w:p>
    <w:p w:rsidR="00EC7744" w:rsidRPr="00683075" w:rsidRDefault="00820B6E" w:rsidP="00683075">
      <w:r w:rsidRPr="00683075">
        <w:t>V neživotnom poistení pokračujú negatívne trendy</w:t>
      </w:r>
      <w:r w:rsidR="003E557A">
        <w:t xml:space="preserve"> v </w:t>
      </w:r>
      <w:r w:rsidRPr="00683075">
        <w:t>poistení áut. Naďalej klesá technické poistné aj</w:t>
      </w:r>
      <w:r w:rsidR="00BF0E04" w:rsidRPr="00683075">
        <w:t xml:space="preserve"> </w:t>
      </w:r>
      <w:r w:rsidRPr="00683075">
        <w:t>priemerné poistné na jednu zmluvu. Spolu</w:t>
      </w:r>
      <w:r w:rsidR="003E557A">
        <w:t xml:space="preserve"> s </w:t>
      </w:r>
      <w:r w:rsidRPr="00683075">
        <w:t>miernym rastom nákladov na poistné plnenia viedla táto</w:t>
      </w:r>
      <w:r w:rsidR="00BF0E04" w:rsidRPr="00683075">
        <w:t xml:space="preserve"> </w:t>
      </w:r>
      <w:r w:rsidRPr="00683075">
        <w:t>situácia</w:t>
      </w:r>
      <w:r w:rsidR="003E557A">
        <w:t xml:space="preserve"> k </w:t>
      </w:r>
      <w:r w:rsidRPr="00683075">
        <w:t>nárastu kombinovaného ukazovateľa</w:t>
      </w:r>
      <w:r w:rsidR="003E557A">
        <w:t xml:space="preserve"> v </w:t>
      </w:r>
      <w:r w:rsidRPr="00683075">
        <w:t>havarijnom poistení na 113,5 %. Táto situácia je</w:t>
      </w:r>
      <w:r w:rsidR="00BF0E04" w:rsidRPr="00683075">
        <w:t xml:space="preserve"> </w:t>
      </w:r>
      <w:r w:rsidRPr="00683075">
        <w:t>dlhodobo neudržateľná. Vo väčšine ostatných poistných odvetví technické poistné rástlo, pričom rástla</w:t>
      </w:r>
      <w:r w:rsidR="00BF0E04" w:rsidRPr="00683075">
        <w:t xml:space="preserve"> </w:t>
      </w:r>
      <w:r w:rsidRPr="00683075">
        <w:t xml:space="preserve">mierne aj </w:t>
      </w:r>
      <w:proofErr w:type="spellStart"/>
      <w:r w:rsidRPr="00683075">
        <w:t>škodovosť</w:t>
      </w:r>
      <w:proofErr w:type="spellEnd"/>
      <w:r w:rsidRPr="00683075">
        <w:t>.</w:t>
      </w:r>
    </w:p>
    <w:p w:rsidR="00EC7744" w:rsidRPr="00683075" w:rsidRDefault="00820B6E" w:rsidP="00683075">
      <w:r w:rsidRPr="00683075">
        <w:t>Technické rezervy</w:t>
      </w:r>
      <w:r w:rsidR="003E557A">
        <w:t xml:space="preserve"> v </w:t>
      </w:r>
      <w:r w:rsidRPr="00683075">
        <w:t>klasickom životnom poistení aj</w:t>
      </w:r>
      <w:r w:rsidR="003E557A">
        <w:t xml:space="preserve"> v </w:t>
      </w:r>
      <w:proofErr w:type="spellStart"/>
      <w:r w:rsidRPr="00683075">
        <w:t>unit-linked</w:t>
      </w:r>
      <w:proofErr w:type="spellEnd"/>
      <w:r w:rsidRPr="00683075">
        <w:t xml:space="preserve"> poistení počas prvého polroka 2013</w:t>
      </w:r>
      <w:r w:rsidR="00BF0E04" w:rsidRPr="00683075">
        <w:t xml:space="preserve"> </w:t>
      </w:r>
      <w:r w:rsidRPr="00683075">
        <w:t>rástli. Rezervy</w:t>
      </w:r>
      <w:r w:rsidR="003E557A">
        <w:t xml:space="preserve"> v </w:t>
      </w:r>
      <w:r w:rsidRPr="00683075">
        <w:t>neživotnom poistení, ani umiestnenie technických rezerv sa zásadne nemenilo.</w:t>
      </w:r>
    </w:p>
    <w:p w:rsidR="00EC7744" w:rsidRPr="00683075" w:rsidRDefault="00820B6E" w:rsidP="00D77337">
      <w:pPr>
        <w:pStyle w:val="zvyraznene"/>
      </w:pPr>
      <w:r w:rsidRPr="00683075">
        <w:t>Mierny rast technického poistného</w:t>
      </w:r>
    </w:p>
    <w:p w:rsidR="00EC7744" w:rsidRPr="00683075" w:rsidRDefault="00820B6E" w:rsidP="00683075">
      <w:r w:rsidRPr="00683075">
        <w:t>V prvom polroku 2013 rast technického poistného</w:t>
      </w:r>
      <w:r w:rsidR="00BF0E04" w:rsidRPr="00683075">
        <w:t xml:space="preserve"> </w:t>
      </w:r>
      <w:r w:rsidRPr="00683075">
        <w:t>medziročne zrýchlil iba mierne</w:t>
      </w:r>
      <w:r w:rsidR="003E557A">
        <w:t xml:space="preserve"> z </w:t>
      </w:r>
      <w:r w:rsidRPr="00683075">
        <w:t>0,8</w:t>
      </w:r>
      <w:r w:rsidR="003E557A">
        <w:t xml:space="preserve"> % </w:t>
      </w:r>
      <w:r w:rsidRPr="00683075">
        <w:t>na</w:t>
      </w:r>
      <w:r w:rsidR="00BF0E04" w:rsidRPr="00683075">
        <w:t xml:space="preserve"> </w:t>
      </w:r>
      <w:r w:rsidRPr="00683075">
        <w:t>1,3 %. Celkové technické poistné</w:t>
      </w:r>
      <w:r w:rsidR="003E557A">
        <w:t xml:space="preserve"> v </w:t>
      </w:r>
      <w:r w:rsidRPr="00683075">
        <w:t>sledovanom</w:t>
      </w:r>
      <w:r w:rsidR="00BF0E04" w:rsidRPr="00683075">
        <w:t xml:space="preserve"> </w:t>
      </w:r>
      <w:r w:rsidRPr="00683075">
        <w:t>období dosiahlo úroveň 1,07 mld. €.</w:t>
      </w:r>
    </w:p>
    <w:p w:rsidR="00EC7744" w:rsidRPr="00683075" w:rsidRDefault="00820B6E" w:rsidP="00683075">
      <w:r w:rsidRPr="00683075">
        <w:t>Pod tento rast sa podpísalo životné poistenie</w:t>
      </w:r>
      <w:r w:rsidR="003E557A">
        <w:t xml:space="preserve"> s </w:t>
      </w:r>
      <w:r w:rsidRPr="00683075">
        <w:t>technickým poistným vo výške 0,57 mld. €</w:t>
      </w:r>
      <w:r w:rsidR="00BF0E04" w:rsidRPr="00683075">
        <w:t xml:space="preserve"> </w:t>
      </w:r>
      <w:r w:rsidRPr="00683075">
        <w:t>(3,8</w:t>
      </w:r>
      <w:r w:rsidR="003E557A">
        <w:t xml:space="preserve"> % </w:t>
      </w:r>
      <w:r w:rsidRPr="00683075">
        <w:t>rast medziročne),</w:t>
      </w:r>
      <w:r w:rsidR="003E557A">
        <w:t xml:space="preserve"> a </w:t>
      </w:r>
      <w:r w:rsidRPr="00683075">
        <w:t>to hlavne klasické životné</w:t>
      </w:r>
      <w:r w:rsidR="00BF0E04" w:rsidRPr="00683075">
        <w:t xml:space="preserve"> </w:t>
      </w:r>
      <w:r w:rsidRPr="00683075">
        <w:t>poistenie</w:t>
      </w:r>
      <w:r w:rsidR="003E557A">
        <w:t xml:space="preserve"> a </w:t>
      </w:r>
      <w:r w:rsidRPr="00683075">
        <w:t>pripoistenie.</w:t>
      </w:r>
    </w:p>
    <w:p w:rsidR="00EC7744" w:rsidRPr="00683075" w:rsidRDefault="00820B6E" w:rsidP="00683075">
      <w:r w:rsidRPr="00683075">
        <w:t>Na druhej strane, neživotné poistenie pokračovalo</w:t>
      </w:r>
      <w:r w:rsidR="003E557A">
        <w:t xml:space="preserve"> v </w:t>
      </w:r>
      <w:r w:rsidRPr="00683075">
        <w:t>negatívnom trende</w:t>
      </w:r>
      <w:r w:rsidR="003E557A">
        <w:t xml:space="preserve"> v </w:t>
      </w:r>
      <w:r w:rsidRPr="00683075">
        <w:t>technickom poistnom</w:t>
      </w:r>
      <w:r w:rsidR="00BF0E04" w:rsidRPr="00683075">
        <w:t xml:space="preserve"> </w:t>
      </w:r>
      <w:r w:rsidRPr="00683075">
        <w:t>(0,5 mld. €, pokles 1,5</w:t>
      </w:r>
      <w:r w:rsidR="003E557A">
        <w:t xml:space="preserve"> % </w:t>
      </w:r>
      <w:r w:rsidRPr="00683075">
        <w:t>medziročne). Tu sa pod</w:t>
      </w:r>
      <w:r w:rsidR="00BF0E04" w:rsidRPr="00683075">
        <w:t xml:space="preserve"> </w:t>
      </w:r>
      <w:r w:rsidRPr="00683075">
        <w:t>vývoj opäť podpísalo hlavne povinné zmluvné</w:t>
      </w:r>
      <w:r w:rsidR="00BF0E04" w:rsidRPr="00683075">
        <w:t xml:space="preserve"> </w:t>
      </w:r>
      <w:r w:rsidRPr="00683075">
        <w:t>poistenie</w:t>
      </w:r>
      <w:r w:rsidR="003E557A">
        <w:t xml:space="preserve"> a </w:t>
      </w:r>
      <w:r w:rsidRPr="00683075">
        <w:t>poistenie motorových vozidiel.</w:t>
      </w:r>
    </w:p>
    <w:p w:rsidR="00EC7744" w:rsidRPr="00683075" w:rsidRDefault="00820B6E" w:rsidP="00D77337">
      <w:pPr>
        <w:pStyle w:val="zvyraznene"/>
      </w:pPr>
      <w:r w:rsidRPr="00683075">
        <w:t>Odvetvia životného poistenia</w:t>
      </w:r>
    </w:p>
    <w:p w:rsidR="00EC7744" w:rsidRPr="00683075" w:rsidRDefault="00820B6E" w:rsidP="00683075">
      <w:r w:rsidRPr="00683075">
        <w:t>Najvýraznejšou zmenou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predchádzajúcimi</w:t>
      </w:r>
      <w:r w:rsidR="00BF0E04" w:rsidRPr="00683075">
        <w:t xml:space="preserve"> </w:t>
      </w:r>
      <w:r w:rsidRPr="00683075">
        <w:t>obdobiami je pokles technického poistného</w:t>
      </w:r>
      <w:r w:rsidR="00BF0E04" w:rsidRPr="00683075">
        <w:t xml:space="preserve"> </w:t>
      </w:r>
      <w:r w:rsidRPr="00683075">
        <w:t>pri produktoch investičného poistenia,</w:t>
      </w:r>
      <w:r w:rsidR="00BF0E04" w:rsidRPr="00683075">
        <w:t xml:space="preserve"> </w:t>
      </w:r>
      <w:r w:rsidRPr="00683075">
        <w:t xml:space="preserve">tzv. </w:t>
      </w:r>
      <w:proofErr w:type="spellStart"/>
      <w:r w:rsidRPr="00683075">
        <w:t>unit-linked</w:t>
      </w:r>
      <w:proofErr w:type="spellEnd"/>
      <w:r w:rsidRPr="00683075">
        <w:t xml:space="preserve"> poistenia, medziročne o 4,6</w:t>
      </w:r>
      <w:r w:rsidR="003E557A">
        <w:t xml:space="preserve"> % </w:t>
      </w:r>
      <w:r w:rsidRPr="00683075">
        <w:t>na</w:t>
      </w:r>
      <w:r w:rsidR="00BF0E04" w:rsidRPr="00683075">
        <w:t xml:space="preserve"> </w:t>
      </w:r>
      <w:r w:rsidRPr="00683075">
        <w:t xml:space="preserve">hodnotu 171 mil. €. Podiel </w:t>
      </w:r>
      <w:proofErr w:type="spellStart"/>
      <w:r w:rsidRPr="00683075">
        <w:t>unit-linked</w:t>
      </w:r>
      <w:proofErr w:type="spellEnd"/>
      <w:r w:rsidRPr="00683075">
        <w:t xml:space="preserve"> produktov</w:t>
      </w:r>
      <w:r w:rsidR="00BF0E04" w:rsidRPr="00683075">
        <w:t xml:space="preserve"> </w:t>
      </w:r>
      <w:r w:rsidRPr="00683075">
        <w:t>na poistnom trhu poklesol pod 30 %. Ročné poistné,</w:t>
      </w:r>
      <w:r w:rsidR="00BF0E04" w:rsidRPr="00683075">
        <w:t xml:space="preserve"> </w:t>
      </w:r>
      <w:r w:rsidRPr="00683075">
        <w:t>vrátane novej produkcie, zaznamenali medziročný</w:t>
      </w:r>
      <w:r w:rsidR="00BF0E04" w:rsidRPr="00683075">
        <w:t xml:space="preserve"> </w:t>
      </w:r>
      <w:r w:rsidRPr="00683075">
        <w:t>pokles o 11,2 %, resp. 14,8 %. Napriek</w:t>
      </w:r>
      <w:r w:rsidR="00BF0E04" w:rsidRPr="00683075">
        <w:t xml:space="preserve"> </w:t>
      </w:r>
      <w:r w:rsidRPr="00683075">
        <w:t>tomu však nová produkcia naďalej tvorí významnú</w:t>
      </w:r>
      <w:r w:rsidR="00BF0E04" w:rsidRPr="00683075">
        <w:t xml:space="preserve"> </w:t>
      </w:r>
      <w:r w:rsidRPr="00683075">
        <w:t>časť, takmer 15 %,</w:t>
      </w:r>
      <w:r w:rsidR="003E557A">
        <w:t xml:space="preserve"> z </w:t>
      </w:r>
      <w:r w:rsidRPr="00683075">
        <w:t>ročného poistného. Počet</w:t>
      </w:r>
      <w:r w:rsidR="00BF0E04" w:rsidRPr="00683075">
        <w:t xml:space="preserve"> </w:t>
      </w:r>
      <w:r w:rsidRPr="00683075">
        <w:t>zmlúv</w:t>
      </w:r>
      <w:r w:rsidR="003E557A">
        <w:t xml:space="preserve"> v </w:t>
      </w:r>
      <w:proofErr w:type="spellStart"/>
      <w:r w:rsidRPr="00683075">
        <w:t>unit-linked</w:t>
      </w:r>
      <w:proofErr w:type="spellEnd"/>
      <w:r w:rsidRPr="00683075">
        <w:t xml:space="preserve"> poistení medziročne vzrástol</w:t>
      </w:r>
      <w:r w:rsidR="00BF0E04" w:rsidRPr="00683075">
        <w:t xml:space="preserve"> </w:t>
      </w:r>
      <w:r w:rsidRPr="00683075">
        <w:t>iba o necelých 0,7 %.</w:t>
      </w:r>
    </w:p>
    <w:p w:rsidR="00820B6E" w:rsidRPr="00683075" w:rsidRDefault="00820B6E" w:rsidP="00683075">
      <w:r w:rsidRPr="00683075">
        <w:t>Pod pomalší rast poistných zmlúv</w:t>
      </w:r>
      <w:r w:rsidR="003E557A">
        <w:t xml:space="preserve"> v </w:t>
      </w:r>
      <w:proofErr w:type="spellStart"/>
      <w:r w:rsidRPr="00683075">
        <w:t>unit-linked</w:t>
      </w:r>
      <w:proofErr w:type="spellEnd"/>
      <w:r w:rsidR="00BF0E04" w:rsidRPr="00683075">
        <w:t xml:space="preserve"> </w:t>
      </w:r>
      <w:r w:rsidRPr="00683075">
        <w:t>odvetví sa podpísal aj rastúci počet poistných</w:t>
      </w:r>
      <w:r w:rsidR="00BF0E04" w:rsidRPr="00683075">
        <w:t xml:space="preserve"> </w:t>
      </w:r>
      <w:r w:rsidRPr="00683075">
        <w:t>plnení</w:t>
      </w:r>
      <w:r w:rsidR="003E557A">
        <w:t xml:space="preserve"> z </w:t>
      </w:r>
      <w:r w:rsidRPr="00683075">
        <w:t xml:space="preserve">dôvodu </w:t>
      </w:r>
      <w:proofErr w:type="spellStart"/>
      <w:r w:rsidRPr="00683075">
        <w:t>odkupov</w:t>
      </w:r>
      <w:proofErr w:type="spellEnd"/>
      <w:r w:rsidR="003E557A">
        <w:t xml:space="preserve"> a </w:t>
      </w:r>
      <w:r w:rsidRPr="00683075">
        <w:t>dožitia, aj keď miera</w:t>
      </w:r>
      <w:r w:rsidR="00BF0E04" w:rsidRPr="00683075">
        <w:t xml:space="preserve"> </w:t>
      </w:r>
      <w:r w:rsidRPr="00683075">
        <w:t xml:space="preserve">rastu sa spomaľuje. Frekvencia </w:t>
      </w:r>
      <w:proofErr w:type="spellStart"/>
      <w:r w:rsidRPr="00683075">
        <w:t>odkupov</w:t>
      </w:r>
      <w:proofErr w:type="spellEnd"/>
      <w:r w:rsidRPr="00683075">
        <w:t xml:space="preserve"> bola na</w:t>
      </w:r>
      <w:r w:rsidR="00BF0E04" w:rsidRPr="00683075">
        <w:t xml:space="preserve"> </w:t>
      </w:r>
      <w:r w:rsidRPr="00683075">
        <w:t>úrovni 6,2</w:t>
      </w:r>
      <w:r w:rsidR="003E557A">
        <w:t xml:space="preserve"> % </w:t>
      </w:r>
      <w:r w:rsidRPr="00683075">
        <w:t>(5,9</w:t>
      </w:r>
      <w:r w:rsidR="003E557A">
        <w:t xml:space="preserve"> % v </w:t>
      </w:r>
      <w:r w:rsidRPr="00683075">
        <w:t>júni 2012)</w:t>
      </w:r>
      <w:r w:rsidR="003E557A">
        <w:t xml:space="preserve"> a </w:t>
      </w:r>
      <w:r w:rsidRPr="00683075">
        <w:t>medziročný rast</w:t>
      </w:r>
      <w:r w:rsidR="00BF0E04" w:rsidRPr="00683075">
        <w:t xml:space="preserve"> </w:t>
      </w:r>
      <w:r w:rsidRPr="00683075">
        <w:t xml:space="preserve">počtu </w:t>
      </w:r>
      <w:proofErr w:type="spellStart"/>
      <w:r w:rsidRPr="00683075">
        <w:t>odkupov</w:t>
      </w:r>
      <w:proofErr w:type="spellEnd"/>
      <w:r w:rsidRPr="00683075">
        <w:t xml:space="preserve"> klesol</w:t>
      </w:r>
      <w:r w:rsidR="003E557A">
        <w:t xml:space="preserve"> z </w:t>
      </w:r>
      <w:r w:rsidRPr="00683075">
        <w:t>20</w:t>
      </w:r>
      <w:r w:rsidR="003E557A">
        <w:t xml:space="preserve"> % </w:t>
      </w:r>
      <w:r w:rsidRPr="00683075">
        <w:t>na 6,5 %. Celkový</w:t>
      </w:r>
      <w:r w:rsidR="00BF0E04" w:rsidRPr="00683075">
        <w:t xml:space="preserve"> </w:t>
      </w:r>
      <w:r w:rsidRPr="00683075">
        <w:t xml:space="preserve">objem </w:t>
      </w:r>
      <w:proofErr w:type="spellStart"/>
      <w:r w:rsidRPr="00683075">
        <w:t>odkupov</w:t>
      </w:r>
      <w:proofErr w:type="spellEnd"/>
      <w:r w:rsidRPr="00683075">
        <w:t xml:space="preserve"> zodpovedal 4,5</w:t>
      </w:r>
      <w:r w:rsidR="003E557A">
        <w:t xml:space="preserve"> % </w:t>
      </w:r>
      <w:r w:rsidRPr="00683075">
        <w:t>technických</w:t>
      </w:r>
      <w:r w:rsidR="007B077A" w:rsidRPr="00683075">
        <w:t xml:space="preserve"> </w:t>
      </w:r>
      <w:r w:rsidRPr="00683075">
        <w:t>rezerv</w:t>
      </w:r>
      <w:r w:rsidR="003E557A">
        <w:t xml:space="preserve"> v </w:t>
      </w:r>
      <w:proofErr w:type="spellStart"/>
      <w:r w:rsidRPr="00683075">
        <w:t>unit-linked</w:t>
      </w:r>
      <w:proofErr w:type="spellEnd"/>
      <w:r w:rsidRPr="00683075">
        <w:t xml:space="preserve"> odvetví (4,9</w:t>
      </w:r>
      <w:r w:rsidR="003E557A">
        <w:t xml:space="preserve"> % v </w:t>
      </w:r>
      <w:r w:rsidRPr="00683075">
        <w:t>júni 2012).</w:t>
      </w:r>
      <w:r w:rsidR="00BF0E04" w:rsidRPr="00683075">
        <w:t xml:space="preserve"> </w:t>
      </w:r>
      <w:r w:rsidRPr="00683075">
        <w:t>Frekvencia ostatných poistných plnení</w:t>
      </w:r>
      <w:r w:rsidR="003E557A">
        <w:t xml:space="preserve"> v </w:t>
      </w:r>
      <w:proofErr w:type="spellStart"/>
      <w:r w:rsidRPr="00683075">
        <w:t>unit-linked</w:t>
      </w:r>
      <w:proofErr w:type="spellEnd"/>
      <w:r w:rsidR="00BF0E04" w:rsidRPr="00683075">
        <w:t xml:space="preserve"> </w:t>
      </w:r>
      <w:r w:rsidRPr="00683075">
        <w:t>(hlavne</w:t>
      </w:r>
      <w:r w:rsidR="003E557A">
        <w:t xml:space="preserve"> z </w:t>
      </w:r>
      <w:r w:rsidRPr="00683075">
        <w:t>dôvodu dožitia) je pod 1 %, pričom</w:t>
      </w:r>
      <w:r w:rsidR="00BF0E04" w:rsidRPr="00683075">
        <w:t xml:space="preserve"> </w:t>
      </w:r>
      <w:r w:rsidRPr="00683075">
        <w:t xml:space="preserve">výška týchto </w:t>
      </w:r>
      <w:r w:rsidRPr="00683075">
        <w:lastRenderedPageBreak/>
        <w:t>nárokov tvorí 1,3</w:t>
      </w:r>
      <w:r w:rsidR="003E557A">
        <w:t xml:space="preserve"> % </w:t>
      </w:r>
      <w:r w:rsidRPr="00683075">
        <w:t>technických rezerv</w:t>
      </w:r>
      <w:r w:rsidR="003E557A">
        <w:t xml:space="preserve"> v </w:t>
      </w:r>
      <w:proofErr w:type="spellStart"/>
      <w:r w:rsidRPr="00683075">
        <w:t>unit-linked</w:t>
      </w:r>
      <w:proofErr w:type="spellEnd"/>
      <w:r w:rsidRPr="00683075">
        <w:t xml:space="preserve"> odvetví.</w:t>
      </w:r>
      <w:r w:rsidR="00BF0E04" w:rsidRPr="00683075">
        <w:t xml:space="preserve"> </w:t>
      </w:r>
    </w:p>
    <w:p w:rsidR="00EC7744" w:rsidRPr="00683075" w:rsidRDefault="00820B6E" w:rsidP="00683075">
      <w:r w:rsidRPr="00683075">
        <w:t xml:space="preserve">Na rozdiel od </w:t>
      </w:r>
      <w:proofErr w:type="spellStart"/>
      <w:r w:rsidRPr="00683075">
        <w:t>unit-linked</w:t>
      </w:r>
      <w:proofErr w:type="spellEnd"/>
      <w:r w:rsidRPr="00683075">
        <w:t xml:space="preserve"> poistenia klasické životné</w:t>
      </w:r>
      <w:r w:rsidR="00BF0E04" w:rsidRPr="00683075">
        <w:t xml:space="preserve"> </w:t>
      </w:r>
      <w:r w:rsidRPr="00683075">
        <w:t>poistenie zaznamenalo</w:t>
      </w:r>
      <w:r w:rsidR="003E557A">
        <w:t xml:space="preserve"> v </w:t>
      </w:r>
      <w:r w:rsidRPr="00683075">
        <w:t>prvom polroku 2013</w:t>
      </w:r>
      <w:r w:rsidR="00BF0E04" w:rsidRPr="00683075">
        <w:t xml:space="preserve"> </w:t>
      </w:r>
      <w:r w:rsidRPr="00683075">
        <w:t>pozitívny rast</w:t>
      </w:r>
      <w:r w:rsidR="003E557A">
        <w:t xml:space="preserve"> v </w:t>
      </w:r>
      <w:r w:rsidRPr="00683075">
        <w:t>technickom poistnom po dvoch</w:t>
      </w:r>
      <w:r w:rsidR="00BF0E04" w:rsidRPr="00683075">
        <w:t xml:space="preserve"> </w:t>
      </w:r>
      <w:r w:rsidRPr="00683075">
        <w:t>rokoch poklesu.</w:t>
      </w:r>
      <w:r w:rsidR="003E557A">
        <w:t xml:space="preserve"> k </w:t>
      </w:r>
      <w:r w:rsidRPr="00683075">
        <w:t>júnu 2013 dosiahla hodnota</w:t>
      </w:r>
      <w:r w:rsidR="00BF0E04" w:rsidRPr="00683075">
        <w:t xml:space="preserve"> </w:t>
      </w:r>
      <w:r w:rsidRPr="00683075">
        <w:t>technického poistného hodnotu 314 mil. €, čo</w:t>
      </w:r>
      <w:r w:rsidR="00BF0E04" w:rsidRPr="00683075">
        <w:t xml:space="preserve"> </w:t>
      </w:r>
      <w:r w:rsidRPr="00683075">
        <w:t>zodpovedá medziročnému rastu 7,6 %. Ročné</w:t>
      </w:r>
      <w:r w:rsidR="00BF0E04" w:rsidRPr="00683075">
        <w:t xml:space="preserve"> </w:t>
      </w:r>
      <w:r w:rsidRPr="00683075">
        <w:t>poistné</w:t>
      </w:r>
      <w:r w:rsidR="003E557A">
        <w:t xml:space="preserve"> v </w:t>
      </w:r>
      <w:r w:rsidRPr="00683075">
        <w:t>klasickom životnom poistení rástlo</w:t>
      </w:r>
      <w:r w:rsidR="00BF0E04" w:rsidRPr="00683075">
        <w:t xml:space="preserve"> </w:t>
      </w:r>
      <w:r w:rsidRPr="00683075">
        <w:t>(3</w:t>
      </w:r>
      <w:r w:rsidR="003E557A">
        <w:t xml:space="preserve"> % </w:t>
      </w:r>
      <w:r w:rsidRPr="00683075">
        <w:t>medziročne) hlavne vďaka novej produkcii</w:t>
      </w:r>
      <w:r w:rsidR="00BF0E04" w:rsidRPr="00683075">
        <w:t xml:space="preserve"> </w:t>
      </w:r>
      <w:r w:rsidRPr="00683075">
        <w:t>(18,5</w:t>
      </w:r>
      <w:r w:rsidR="003E557A">
        <w:t xml:space="preserve"> % </w:t>
      </w:r>
      <w:r w:rsidRPr="00683075">
        <w:t>medziročne).</w:t>
      </w:r>
    </w:p>
    <w:p w:rsidR="00EC7744" w:rsidRPr="00683075" w:rsidRDefault="00820B6E" w:rsidP="00683075">
      <w:r w:rsidRPr="00683075">
        <w:t>Objem poistných plnení</w:t>
      </w:r>
      <w:r w:rsidR="003E557A">
        <w:t xml:space="preserve"> v </w:t>
      </w:r>
      <w:r w:rsidRPr="00683075">
        <w:t>prvom polroku 2013</w:t>
      </w:r>
      <w:r w:rsidR="00BF0E04" w:rsidRPr="00683075">
        <w:t xml:space="preserve"> </w:t>
      </w:r>
      <w:r w:rsidRPr="00683075">
        <w:t>bol na úrovni 292 mil. €, čo zodpovedá medziročnému</w:t>
      </w:r>
      <w:r w:rsidR="00BF0E04" w:rsidRPr="00683075">
        <w:t xml:space="preserve"> </w:t>
      </w:r>
      <w:r w:rsidRPr="00683075">
        <w:t>nárastu o 7</w:t>
      </w:r>
      <w:r w:rsidR="003E557A">
        <w:t xml:space="preserve"> % </w:t>
      </w:r>
      <w:r w:rsidRPr="00683075">
        <w:t xml:space="preserve">(hlavne </w:t>
      </w:r>
      <w:proofErr w:type="spellStart"/>
      <w:r w:rsidRPr="00683075">
        <w:t>odkupy</w:t>
      </w:r>
      <w:proofErr w:type="spellEnd"/>
      <w:r w:rsidRPr="00683075">
        <w:t>, podobne</w:t>
      </w:r>
      <w:r w:rsidR="00BF0E04" w:rsidRPr="00683075">
        <w:t xml:space="preserve"> </w:t>
      </w:r>
      <w:r w:rsidRPr="00683075">
        <w:t>ako</w:t>
      </w:r>
      <w:r w:rsidR="003E557A">
        <w:t xml:space="preserve"> v </w:t>
      </w:r>
      <w:r w:rsidRPr="00683075">
        <w:t xml:space="preserve">prípade </w:t>
      </w:r>
      <w:proofErr w:type="spellStart"/>
      <w:r w:rsidRPr="00683075">
        <w:t>unit-linked</w:t>
      </w:r>
      <w:proofErr w:type="spellEnd"/>
      <w:r w:rsidRPr="00683075">
        <w:t xml:space="preserve"> poistenia), čím zrýchlil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rovnakým obdobím minulého</w:t>
      </w:r>
      <w:r w:rsidR="00BF0E04" w:rsidRPr="00683075">
        <w:t xml:space="preserve"> </w:t>
      </w:r>
      <w:r w:rsidRPr="00683075">
        <w:t>roka o 4 p. b. Počet poistných plnení však klesol</w:t>
      </w:r>
      <w:r w:rsidR="00BF0E04" w:rsidRPr="00683075">
        <w:t xml:space="preserve"> </w:t>
      </w:r>
      <w:r w:rsidRPr="00683075">
        <w:t>o viac ako 7 %. Podiel objemu poistných plnení</w:t>
      </w:r>
      <w:r w:rsidR="00BF0E04" w:rsidRPr="00683075">
        <w:t xml:space="preserve"> </w:t>
      </w:r>
      <w:r w:rsidRPr="00683075">
        <w:t>na technických rezervách sa od svojej priemernej</w:t>
      </w:r>
      <w:r w:rsidR="00BF0E04" w:rsidRPr="00683075">
        <w:t xml:space="preserve"> </w:t>
      </w:r>
      <w:r w:rsidRPr="00683075">
        <w:t>hodnoty výraznejšie nevzdialil.</w:t>
      </w:r>
    </w:p>
    <w:p w:rsidR="00EC7744" w:rsidRPr="00683075" w:rsidRDefault="00820B6E" w:rsidP="00683075">
      <w:r w:rsidRPr="00683075">
        <w:t>Technické poistné</w:t>
      </w:r>
      <w:r w:rsidR="003E557A">
        <w:t xml:space="preserve"> v </w:t>
      </w:r>
      <w:r w:rsidRPr="00683075">
        <w:t>odvetví pripoistenia bolo</w:t>
      </w:r>
      <w:r w:rsidR="003E557A">
        <w:t xml:space="preserve"> k </w:t>
      </w:r>
      <w:r w:rsidRPr="00683075">
        <w:t>30. júnu na úrovni 79 mil. € (medziročný nárast</w:t>
      </w:r>
      <w:r w:rsidR="00BF0E04" w:rsidRPr="00683075">
        <w:t xml:space="preserve"> </w:t>
      </w:r>
      <w:r w:rsidRPr="00683075">
        <w:t>o 10,8 %)</w:t>
      </w:r>
      <w:r w:rsidR="003E557A">
        <w:t xml:space="preserve"> a v </w:t>
      </w:r>
      <w:r w:rsidRPr="00683075">
        <w:t>dôchodkovom poistení 6 mil. € (medziročný</w:t>
      </w:r>
      <w:r w:rsidR="00BF0E04" w:rsidRPr="00683075">
        <w:t xml:space="preserve"> </w:t>
      </w:r>
      <w:r w:rsidRPr="00683075">
        <w:t>pokles o 8,4 %).</w:t>
      </w:r>
    </w:p>
    <w:p w:rsidR="00EC7744" w:rsidRPr="00683075" w:rsidRDefault="00820B6E" w:rsidP="00D77337">
      <w:pPr>
        <w:pStyle w:val="zvyraznene"/>
      </w:pPr>
      <w:r w:rsidRPr="00683075">
        <w:t>Odvetvia neživotného poistenia</w:t>
      </w:r>
    </w:p>
    <w:p w:rsidR="00EC7744" w:rsidRPr="00683075" w:rsidRDefault="00820B6E" w:rsidP="00683075">
      <w:r w:rsidRPr="00683075">
        <w:t>Technické poistné</w:t>
      </w:r>
      <w:r w:rsidR="003E557A">
        <w:t xml:space="preserve"> v </w:t>
      </w:r>
      <w:r w:rsidRPr="00683075">
        <w:t>neživotnom poistení od</w:t>
      </w:r>
      <w:r w:rsidR="00BF0E04" w:rsidRPr="00683075">
        <w:t xml:space="preserve"> </w:t>
      </w:r>
      <w:r w:rsidRPr="00683075">
        <w:t>roku 2009,</w:t>
      </w:r>
      <w:r w:rsidR="003E557A">
        <w:t xml:space="preserve"> s </w:t>
      </w:r>
      <w:r w:rsidRPr="00683075">
        <w:t>výnimkou roku 2011, klesá. Pod</w:t>
      </w:r>
      <w:r w:rsidR="00BF0E04" w:rsidRPr="00683075">
        <w:t xml:space="preserve"> </w:t>
      </w:r>
      <w:r w:rsidRPr="00683075">
        <w:t>tento vývoj sa aj</w:t>
      </w:r>
      <w:r w:rsidR="003E557A">
        <w:t xml:space="preserve"> v </w:t>
      </w:r>
      <w:r w:rsidRPr="00683075">
        <w:t>prvom polroku 2013 podpísalo</w:t>
      </w:r>
      <w:r w:rsidR="00BF0E04" w:rsidRPr="00683075">
        <w:t xml:space="preserve"> </w:t>
      </w:r>
      <w:r w:rsidRPr="00683075">
        <w:t>hlavne poistenie áut. Dovedna bola výška</w:t>
      </w:r>
      <w:r w:rsidR="00BF0E04" w:rsidRPr="00683075">
        <w:t xml:space="preserve"> </w:t>
      </w:r>
      <w:r w:rsidRPr="00683075">
        <w:t>technického poistného</w:t>
      </w:r>
      <w:r w:rsidR="003E557A">
        <w:t xml:space="preserve"> k </w:t>
      </w:r>
      <w:r w:rsidRPr="00683075">
        <w:t>poslednému júnovému</w:t>
      </w:r>
      <w:r w:rsidR="00BF0E04" w:rsidRPr="00683075">
        <w:t xml:space="preserve"> </w:t>
      </w:r>
      <w:r w:rsidRPr="00683075">
        <w:t>dňu 496,5 mil. €.</w:t>
      </w:r>
    </w:p>
    <w:p w:rsidR="00EC7744" w:rsidRPr="00683075" w:rsidRDefault="00820B6E" w:rsidP="00683075">
      <w:r w:rsidRPr="00683075">
        <w:t>Najvýraznejší pokles technického poistného,</w:t>
      </w:r>
      <w:r w:rsidR="00BF0E04" w:rsidRPr="00683075">
        <w:t xml:space="preserve"> </w:t>
      </w:r>
      <w:r w:rsidRPr="00683075">
        <w:t>o 7,5 mil. € na 147,4 mil. €, (-4,9</w:t>
      </w:r>
      <w:r w:rsidR="003E557A">
        <w:t xml:space="preserve"> % </w:t>
      </w:r>
      <w:r w:rsidRPr="00683075">
        <w:t>medziročne)</w:t>
      </w:r>
      <w:r w:rsidR="00BF0E04" w:rsidRPr="00683075">
        <w:t xml:space="preserve"> </w:t>
      </w:r>
      <w:r w:rsidRPr="00683075">
        <w:t>bol zaznamenaný pri PZP. Pod tento vývoj sa</w:t>
      </w:r>
      <w:r w:rsidR="00BF0E04" w:rsidRPr="00683075">
        <w:t xml:space="preserve"> </w:t>
      </w:r>
      <w:r w:rsidRPr="00683075">
        <w:t>podpísal dlhodobo klesajúci pokles priemernej</w:t>
      </w:r>
      <w:r w:rsidR="00BF0E04" w:rsidRPr="00683075">
        <w:t xml:space="preserve"> </w:t>
      </w:r>
      <w:r w:rsidRPr="00683075">
        <w:t>výšky poistného u nových (-4,7</w:t>
      </w:r>
      <w:r w:rsidR="003E557A">
        <w:t xml:space="preserve"> % </w:t>
      </w:r>
      <w:r w:rsidRPr="00683075">
        <w:t>medziročne)</w:t>
      </w:r>
      <w:r w:rsidR="003E557A">
        <w:t xml:space="preserve"> i </w:t>
      </w:r>
      <w:r w:rsidRPr="00683075">
        <w:t>prolongovaných zmlúv (-6,3</w:t>
      </w:r>
      <w:r w:rsidR="003E557A">
        <w:t xml:space="preserve"> % </w:t>
      </w:r>
      <w:r w:rsidRPr="00683075">
        <w:t>medziročne).</w:t>
      </w:r>
      <w:r w:rsidR="00BF0E04" w:rsidRPr="00683075">
        <w:t xml:space="preserve"> </w:t>
      </w:r>
      <w:r w:rsidRPr="00683075">
        <w:t>Rast počtu poistných zmlúv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>2013 spomaľoval (2,1</w:t>
      </w:r>
      <w:r w:rsidR="003E557A">
        <w:t xml:space="preserve"> % </w:t>
      </w:r>
      <w:r w:rsidRPr="00683075">
        <w:t>medziročne),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rokom 2012 však nová produkcia</w:t>
      </w:r>
      <w:r w:rsidR="003E557A">
        <w:t xml:space="preserve"> z </w:t>
      </w:r>
      <w:r w:rsidRPr="00683075">
        <w:t>kontrakcie</w:t>
      </w:r>
      <w:r w:rsidR="00BF0E04" w:rsidRPr="00683075">
        <w:t xml:space="preserve"> </w:t>
      </w:r>
      <w:r w:rsidRPr="00683075">
        <w:t>-10,7</w:t>
      </w:r>
      <w:r w:rsidR="003E557A">
        <w:t xml:space="preserve"> % </w:t>
      </w:r>
      <w:r w:rsidRPr="00683075">
        <w:t>prešla do expanzie na úrovni takmer</w:t>
      </w:r>
      <w:r w:rsidR="00BF0E04" w:rsidRPr="00683075">
        <w:t xml:space="preserve"> </w:t>
      </w:r>
      <w:r w:rsidRPr="00683075">
        <w:t>5 %. Hoci počet poistných udalostí medziročne</w:t>
      </w:r>
      <w:r w:rsidR="00BF0E04" w:rsidRPr="00683075">
        <w:t xml:space="preserve"> </w:t>
      </w:r>
      <w:r w:rsidRPr="00683075">
        <w:t>klesol o približne 6,5 %, celková výška poistných</w:t>
      </w:r>
      <w:r w:rsidR="00BF0E04" w:rsidRPr="00683075">
        <w:t xml:space="preserve"> </w:t>
      </w:r>
      <w:r w:rsidRPr="00683075">
        <w:t>plnení vzrástla o takmer 4 %.</w:t>
      </w:r>
    </w:p>
    <w:p w:rsidR="00EC7744" w:rsidRPr="00683075" w:rsidRDefault="00820B6E" w:rsidP="00683075">
      <w:r w:rsidRPr="00683075">
        <w:t>Technické poistné</w:t>
      </w:r>
      <w:r w:rsidR="003E557A">
        <w:t xml:space="preserve"> v </w:t>
      </w:r>
      <w:r w:rsidRPr="00683075">
        <w:t>odvetví havarijného poistenia</w:t>
      </w:r>
      <w:r w:rsidR="00BF0E04" w:rsidRPr="00683075">
        <w:t xml:space="preserve"> </w:t>
      </w:r>
      <w:r w:rsidRPr="00683075">
        <w:t>áut na úrovni 124,5 mil. € znamená, podobne</w:t>
      </w:r>
      <w:r w:rsidR="00BF0E04" w:rsidRPr="00683075">
        <w:t xml:space="preserve"> </w:t>
      </w:r>
      <w:r w:rsidRPr="00683075">
        <w:t>ako pri PZP, medziročný pokles, ktorý však spomalil</w:t>
      </w:r>
      <w:r w:rsidR="003E557A">
        <w:t xml:space="preserve"> z </w:t>
      </w:r>
      <w:r w:rsidRPr="00683075">
        <w:t>-5,5</w:t>
      </w:r>
      <w:r w:rsidR="003E557A">
        <w:t xml:space="preserve"> % v </w:t>
      </w:r>
      <w:r w:rsidRPr="00683075">
        <w:t>júni 2012 na -3,8</w:t>
      </w:r>
      <w:r w:rsidR="003E557A">
        <w:t xml:space="preserve"> % v </w:t>
      </w:r>
      <w:r w:rsidRPr="00683075">
        <w:t>júni 2013.</w:t>
      </w:r>
      <w:r w:rsidR="00BF0E04" w:rsidRPr="00683075">
        <w:t xml:space="preserve"> </w:t>
      </w:r>
      <w:r w:rsidRPr="00683075">
        <w:t>Klesalo najmä priemerné poistné na jednu zmluvu</w:t>
      </w:r>
      <w:r w:rsidR="003E557A">
        <w:t xml:space="preserve"> v </w:t>
      </w:r>
      <w:r w:rsidRPr="00683075">
        <w:t>novej produkcii (-10,4</w:t>
      </w:r>
      <w:r w:rsidR="003E557A">
        <w:t xml:space="preserve"> % </w:t>
      </w:r>
      <w:r w:rsidRPr="00683075">
        <w:t>medziročne,</w:t>
      </w:r>
      <w:r w:rsidR="003E557A">
        <w:t xml:space="preserve"> v </w:t>
      </w:r>
      <w:r w:rsidRPr="00683075">
        <w:t>júni</w:t>
      </w:r>
      <w:r w:rsidR="00BF0E04" w:rsidRPr="00683075">
        <w:t xml:space="preserve"> </w:t>
      </w:r>
      <w:r w:rsidRPr="00683075">
        <w:t>2012 bol pokles -18,9 %). Pokles priemernej ceny</w:t>
      </w:r>
      <w:r w:rsidR="00BF0E04" w:rsidRPr="00683075">
        <w:t xml:space="preserve"> </w:t>
      </w:r>
      <w:r w:rsidRPr="00683075">
        <w:t>poistného na jednu zmluvu</w:t>
      </w:r>
      <w:r w:rsidR="003E557A">
        <w:t xml:space="preserve"> v </w:t>
      </w:r>
      <w:r w:rsidRPr="00683075">
        <w:t>prolongovaných</w:t>
      </w:r>
      <w:r w:rsidR="00BF0E04" w:rsidRPr="00683075">
        <w:t xml:space="preserve"> </w:t>
      </w:r>
      <w:r w:rsidRPr="00683075">
        <w:t>zmluvách bol miernejší (-5,2 %), no oproti roku</w:t>
      </w:r>
      <w:r w:rsidR="00BF0E04" w:rsidRPr="00683075">
        <w:t xml:space="preserve"> </w:t>
      </w:r>
      <w:r w:rsidRPr="00683075">
        <w:t>2012 mierne zrýchlil (v júni 2012 pokles -2,2 %).</w:t>
      </w:r>
      <w:r w:rsidR="003E557A">
        <w:t xml:space="preserve"> v </w:t>
      </w:r>
      <w:r w:rsidRPr="00683075">
        <w:t>sledovanom období však výrazne vzrástol počet</w:t>
      </w:r>
      <w:r w:rsidR="00BF0E04" w:rsidRPr="00683075">
        <w:t xml:space="preserve"> </w:t>
      </w:r>
      <w:r w:rsidRPr="00683075">
        <w:t>poistných plnení (7</w:t>
      </w:r>
      <w:r w:rsidR="003E557A">
        <w:t xml:space="preserve"> % </w:t>
      </w:r>
      <w:r w:rsidRPr="00683075">
        <w:t>medziročne)</w:t>
      </w:r>
      <w:r w:rsidR="003E557A">
        <w:t xml:space="preserve"> a </w:t>
      </w:r>
      <w:r w:rsidRPr="00683075">
        <w:t>hlavne</w:t>
      </w:r>
      <w:r w:rsidR="00BF0E04" w:rsidRPr="00683075">
        <w:t xml:space="preserve"> </w:t>
      </w:r>
      <w:r w:rsidRPr="00683075">
        <w:t>ich objem (10,5</w:t>
      </w:r>
      <w:r w:rsidR="003E557A">
        <w:t xml:space="preserve"> % </w:t>
      </w:r>
      <w:r w:rsidRPr="00683075">
        <w:t>medziročne).</w:t>
      </w:r>
    </w:p>
    <w:p w:rsidR="00EC7744" w:rsidRPr="00683075" w:rsidRDefault="00820B6E" w:rsidP="00683075">
      <w:r w:rsidRPr="00683075">
        <w:t>Vývoj technického poistného</w:t>
      </w:r>
      <w:r w:rsidR="003E557A">
        <w:t xml:space="preserve"> a </w:t>
      </w:r>
      <w:r w:rsidRPr="00683075">
        <w:t>objemu nákladov</w:t>
      </w:r>
      <w:r w:rsidR="00BF0E04" w:rsidRPr="00683075">
        <w:t xml:space="preserve"> </w:t>
      </w:r>
      <w:r w:rsidRPr="00683075">
        <w:t>na poistné plnenia</w:t>
      </w:r>
      <w:r w:rsidR="003E557A">
        <w:t xml:space="preserve"> v </w:t>
      </w:r>
      <w:r w:rsidRPr="00683075">
        <w:t>odvetví havarijného</w:t>
      </w:r>
      <w:r w:rsidR="00BF0E04" w:rsidRPr="00683075">
        <w:t xml:space="preserve"> </w:t>
      </w:r>
      <w:r w:rsidRPr="00683075">
        <w:t>poistenia sa negatívne odrazil aj na technikom</w:t>
      </w:r>
      <w:r w:rsidR="00BF0E04" w:rsidRPr="00683075">
        <w:t xml:space="preserve"> </w:t>
      </w:r>
      <w:r w:rsidRPr="00683075">
        <w:t xml:space="preserve">výsledku. Hlavne vysoká </w:t>
      </w:r>
      <w:proofErr w:type="spellStart"/>
      <w:r w:rsidRPr="00683075">
        <w:t>škodovosť</w:t>
      </w:r>
      <w:proofErr w:type="spellEnd"/>
      <w:r w:rsidR="003E557A">
        <w:t xml:space="preserve"> a </w:t>
      </w:r>
      <w:r w:rsidRPr="00683075">
        <w:t>pokračujúce</w:t>
      </w:r>
      <w:r w:rsidR="00BF0E04" w:rsidRPr="00683075">
        <w:t xml:space="preserve"> </w:t>
      </w:r>
      <w:r w:rsidRPr="00683075">
        <w:t>zlacňovanie poistenia vytlačili kombinovaný</w:t>
      </w:r>
      <w:r w:rsidR="00BF0E04" w:rsidRPr="00683075">
        <w:t xml:space="preserve"> </w:t>
      </w:r>
      <w:r w:rsidRPr="00683075">
        <w:t>ukazovateľ</w:t>
      </w:r>
      <w:r w:rsidR="003E557A">
        <w:t xml:space="preserve"> v </w:t>
      </w:r>
      <w:r w:rsidRPr="00683075">
        <w:t>havarijnom poistení nad hranicu</w:t>
      </w:r>
      <w:r w:rsidR="00BF0E04" w:rsidRPr="00683075">
        <w:t xml:space="preserve"> </w:t>
      </w:r>
      <w:r w:rsidRPr="00683075">
        <w:t>100 %.</w:t>
      </w:r>
    </w:p>
    <w:p w:rsidR="00EC7744" w:rsidRPr="00683075" w:rsidRDefault="00820B6E" w:rsidP="00683075">
      <w:r w:rsidRPr="00683075">
        <w:t>V odvetví poistenia majetku technické poistné</w:t>
      </w:r>
      <w:r w:rsidR="00BF0E04" w:rsidRPr="00683075">
        <w:t xml:space="preserve"> </w:t>
      </w:r>
      <w:r w:rsidRPr="00683075">
        <w:t xml:space="preserve">medziročne </w:t>
      </w:r>
      <w:r w:rsidRPr="00683075">
        <w:lastRenderedPageBreak/>
        <w:t>rástlo iba mierne, na úrovni 1,6 %,</w:t>
      </w:r>
      <w:r w:rsidR="003E557A">
        <w:t xml:space="preserve"> a </w:t>
      </w:r>
      <w:r w:rsidRPr="00683075">
        <w:t>dosiahlo úroveň takmer 130 mil. €.</w:t>
      </w:r>
      <w:r w:rsidR="003E557A">
        <w:t xml:space="preserve"> v </w:t>
      </w:r>
      <w:r w:rsidRPr="00683075">
        <w:t>poistnom</w:t>
      </w:r>
      <w:r w:rsidR="00BF0E04" w:rsidRPr="00683075">
        <w:t xml:space="preserve"> </w:t>
      </w:r>
      <w:r w:rsidRPr="00683075">
        <w:t>sektore klesla nová produkcia o 13 %, avšak medziročne</w:t>
      </w:r>
      <w:r w:rsidR="00BF0E04" w:rsidRPr="00683075">
        <w:t xml:space="preserve"> </w:t>
      </w:r>
      <w:r w:rsidRPr="00683075">
        <w:t>vzrástol objem prolongovaných zmlúv</w:t>
      </w:r>
      <w:r w:rsidR="00BF0E04" w:rsidRPr="00683075">
        <w:t xml:space="preserve"> </w:t>
      </w:r>
      <w:r w:rsidRPr="00683075">
        <w:t>o viac ako 5 %. Náklady na poistné plnenia počas</w:t>
      </w:r>
      <w:r w:rsidR="00BF0E04" w:rsidRPr="00683075">
        <w:t xml:space="preserve"> </w:t>
      </w:r>
      <w:r w:rsidRPr="00683075">
        <w:t>prvého polroka 2013 medziročne výrazne klesli,</w:t>
      </w:r>
      <w:r w:rsidR="00BF0E04" w:rsidRPr="00683075">
        <w:t xml:space="preserve"> </w:t>
      </w:r>
      <w:r w:rsidRPr="00683075">
        <w:t>až o 23,4 %, pričom počet poistných plnení klesol</w:t>
      </w:r>
      <w:r w:rsidR="00BF0E04" w:rsidRPr="00683075">
        <w:t xml:space="preserve"> </w:t>
      </w:r>
      <w:r w:rsidRPr="00683075">
        <w:t>iba mierne.</w:t>
      </w:r>
    </w:p>
    <w:p w:rsidR="00EC7744" w:rsidRPr="00683075" w:rsidRDefault="00820B6E" w:rsidP="00D77337">
      <w:pPr>
        <w:pStyle w:val="zvyraznene"/>
      </w:pPr>
      <w:r w:rsidRPr="00683075">
        <w:t>Náklady na poistné plnenia pokračujú</w:t>
      </w:r>
      <w:r w:rsidR="003E557A">
        <w:t xml:space="preserve"> v </w:t>
      </w:r>
      <w:r w:rsidRPr="00683075">
        <w:t>raste</w:t>
      </w:r>
    </w:p>
    <w:p w:rsidR="00820B6E" w:rsidRPr="00683075" w:rsidRDefault="00820B6E" w:rsidP="00683075">
      <w:r w:rsidRPr="00683075">
        <w:t>Celkové náklady na poistné plnenia</w:t>
      </w:r>
      <w:r w:rsidR="003E557A">
        <w:t xml:space="preserve"> v </w:t>
      </w:r>
      <w:r w:rsidRPr="00683075">
        <w:t>prvom</w:t>
      </w:r>
      <w:r w:rsidR="00BF0E04" w:rsidRPr="00683075">
        <w:t xml:space="preserve"> </w:t>
      </w:r>
      <w:r w:rsidRPr="00683075">
        <w:t>polroku 2013 medziročne vzrástli o takmer 5,7</w:t>
      </w:r>
      <w:r w:rsidR="003E557A">
        <w:t xml:space="preserve"> % a </w:t>
      </w:r>
      <w:r w:rsidRPr="00683075">
        <w:t>dosiahli výšku 628 mil. €.</w:t>
      </w:r>
      <w:r w:rsidR="003E557A">
        <w:t xml:space="preserve"> v </w:t>
      </w:r>
      <w:r w:rsidRPr="00683075">
        <w:t>životnom poistení</w:t>
      </w:r>
      <w:r w:rsidR="00BF0E04" w:rsidRPr="00683075">
        <w:t xml:space="preserve"> </w:t>
      </w:r>
      <w:r w:rsidRPr="00683075">
        <w:t>rast nákladov na poistné plnenia spomalil</w:t>
      </w:r>
      <w:r w:rsidR="003E557A">
        <w:t xml:space="preserve"> z </w:t>
      </w:r>
      <w:r w:rsidRPr="00683075">
        <w:t>10,6</w:t>
      </w:r>
      <w:r w:rsidR="003E557A">
        <w:t xml:space="preserve"> % </w:t>
      </w:r>
      <w:r w:rsidRPr="00683075">
        <w:t>na 8,2</w:t>
      </w:r>
      <w:r w:rsidR="003E557A">
        <w:t xml:space="preserve"> % a </w:t>
      </w:r>
      <w:r w:rsidRPr="00683075">
        <w:t>náklady boli vo výške 388</w:t>
      </w:r>
      <w:r w:rsidR="00BF0E04" w:rsidRPr="00683075">
        <w:t xml:space="preserve"> </w:t>
      </w:r>
      <w:r w:rsidRPr="00683075">
        <w:t>mil. €.</w:t>
      </w:r>
      <w:r w:rsidR="003E557A">
        <w:t xml:space="preserve"> v </w:t>
      </w:r>
      <w:r w:rsidRPr="00683075">
        <w:t>neživotnom poistení náklady na poistné</w:t>
      </w:r>
      <w:r w:rsidR="00BF0E04" w:rsidRPr="00683075">
        <w:t xml:space="preserve"> </w:t>
      </w:r>
      <w:r w:rsidRPr="00683075">
        <w:t>plnenia po výraznom poklese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>2012 vzrástli iba mierne o 1,8</w:t>
      </w:r>
      <w:r w:rsidR="003E557A">
        <w:t xml:space="preserve"> % </w:t>
      </w:r>
      <w:r w:rsidRPr="00683075">
        <w:t>medziročne,</w:t>
      </w:r>
      <w:r w:rsidR="003E557A">
        <w:t xml:space="preserve"> a </w:t>
      </w:r>
      <w:r w:rsidRPr="00683075">
        <w:t>celková výška nákladov</w:t>
      </w:r>
      <w:r w:rsidR="003E557A">
        <w:t xml:space="preserve"> v </w:t>
      </w:r>
      <w:r w:rsidRPr="00683075">
        <w:t>prvom polroku 2013</w:t>
      </w:r>
      <w:r w:rsidR="00BF0E04" w:rsidRPr="00683075">
        <w:t xml:space="preserve"> </w:t>
      </w:r>
      <w:r w:rsidRPr="00683075">
        <w:t>bola 234 mil. €.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Náklady na poistné plnenia</w:t>
      </w:r>
      <w:r w:rsidR="003E557A">
        <w:t xml:space="preserve"> v </w:t>
      </w:r>
      <w:r w:rsidRPr="00683075">
        <w:t>životnom poistení</w:t>
      </w:r>
      <w:r w:rsidR="00BF0E04" w:rsidRPr="00683075">
        <w:t xml:space="preserve"> </w:t>
      </w:r>
      <w:r w:rsidRPr="00683075">
        <w:t>rástli</w:t>
      </w:r>
      <w:r w:rsidR="003E557A">
        <w:t xml:space="preserve"> v </w:t>
      </w:r>
      <w:r w:rsidRPr="00683075">
        <w:t>dôsledku pokračujúcich vyšších plnení pri</w:t>
      </w:r>
      <w:r w:rsidR="00BF0E04" w:rsidRPr="00683075">
        <w:t xml:space="preserve"> </w:t>
      </w:r>
      <w:proofErr w:type="spellStart"/>
      <w:r w:rsidRPr="00683075">
        <w:t>odkupoch</w:t>
      </w:r>
      <w:proofErr w:type="spellEnd"/>
      <w:r w:rsidR="003E557A">
        <w:t xml:space="preserve"> v </w:t>
      </w:r>
      <w:r w:rsidRPr="00683075">
        <w:t>klasickom životnom poistení</w:t>
      </w:r>
      <w:r w:rsidR="003E557A">
        <w:t xml:space="preserve"> a v </w:t>
      </w:r>
      <w:proofErr w:type="spellStart"/>
      <w:r w:rsidRPr="00683075">
        <w:t>unit-linked</w:t>
      </w:r>
      <w:proofErr w:type="spellEnd"/>
      <w:r w:rsidRPr="00683075">
        <w:t xml:space="preserve"> poistení.</w:t>
      </w:r>
    </w:p>
    <w:p w:rsidR="00EC7744" w:rsidRPr="00683075" w:rsidRDefault="00820B6E" w:rsidP="00683075">
      <w:r w:rsidRPr="00683075">
        <w:t>V neživotnom poistení pre hodnotenie nákladov</w:t>
      </w:r>
      <w:r w:rsidR="00BF0E04" w:rsidRPr="00683075">
        <w:t xml:space="preserve"> </w:t>
      </w:r>
      <w:r w:rsidRPr="00683075">
        <w:t xml:space="preserve">na poistné slúži ukazovateľ </w:t>
      </w:r>
      <w:proofErr w:type="spellStart"/>
      <w:r w:rsidRPr="00683075">
        <w:t>škodovosti</w:t>
      </w:r>
      <w:proofErr w:type="spellEnd"/>
      <w:r w:rsidRPr="00683075">
        <w:t>,</w:t>
      </w:r>
      <w:r w:rsidR="00BF0E04" w:rsidRPr="00683075">
        <w:t xml:space="preserve"> </w:t>
      </w:r>
      <w:r w:rsidRPr="00683075">
        <w:t>ktorý porovnáva výšku škôd</w:t>
      </w:r>
      <w:r w:rsidR="003E557A">
        <w:t xml:space="preserve"> k </w:t>
      </w:r>
      <w:r w:rsidRPr="00683075">
        <w:t>zaslúženému</w:t>
      </w:r>
      <w:r w:rsidR="00BF0E04" w:rsidRPr="00683075">
        <w:t xml:space="preserve"> </w:t>
      </w:r>
      <w:r w:rsidRPr="00683075">
        <w:t xml:space="preserve">poistnému. </w:t>
      </w:r>
      <w:proofErr w:type="spellStart"/>
      <w:r w:rsidRPr="00683075">
        <w:t>Škodovosť</w:t>
      </w:r>
      <w:proofErr w:type="spellEnd"/>
      <w:r w:rsidRPr="00683075">
        <w:t xml:space="preserve"> za celé neživotné poistenie</w:t>
      </w:r>
      <w:r w:rsidR="003E557A">
        <w:t xml:space="preserve"> v </w:t>
      </w:r>
      <w:r w:rsidRPr="00683075">
        <w:t>prvom polroku 2013 vzrástla oproti</w:t>
      </w:r>
      <w:r w:rsidR="00BF0E04" w:rsidRPr="00683075">
        <w:t xml:space="preserve"> </w:t>
      </w:r>
      <w:r w:rsidRPr="00683075">
        <w:t>rovnakému obdobiu minulého roka o viac ako</w:t>
      </w:r>
      <w:r w:rsidR="00BF0E04" w:rsidRPr="00683075">
        <w:t xml:space="preserve"> </w:t>
      </w:r>
      <w:r w:rsidRPr="00683075">
        <w:t xml:space="preserve">4,5 p. b. na úroveň 50,8 %. </w:t>
      </w:r>
      <w:proofErr w:type="spellStart"/>
      <w:r w:rsidRPr="00683075">
        <w:t>Škodovosť</w:t>
      </w:r>
      <w:proofErr w:type="spellEnd"/>
      <w:r w:rsidRPr="00683075">
        <w:t xml:space="preserve"> vzrástla</w:t>
      </w:r>
      <w:r w:rsidR="00BF0E04" w:rsidRPr="00683075">
        <w:t xml:space="preserve"> </w:t>
      </w:r>
      <w:r w:rsidRPr="00683075">
        <w:t>takmer vo všetkých odvetviach, ale rozhodujúci</w:t>
      </w:r>
      <w:r w:rsidR="00BF0E04" w:rsidRPr="00683075">
        <w:t xml:space="preserve"> </w:t>
      </w:r>
      <w:r w:rsidRPr="00683075">
        <w:t xml:space="preserve">bol najmä nárast </w:t>
      </w:r>
      <w:proofErr w:type="spellStart"/>
      <w:r w:rsidRPr="00683075">
        <w:t>škodovosti</w:t>
      </w:r>
      <w:proofErr w:type="spellEnd"/>
      <w:r w:rsidR="003E557A">
        <w:t xml:space="preserve"> v </w:t>
      </w:r>
      <w:r w:rsidRPr="00683075">
        <w:t>segmente havarijného</w:t>
      </w:r>
      <w:r w:rsidR="00BF0E04" w:rsidRPr="00683075">
        <w:t xml:space="preserve"> </w:t>
      </w:r>
      <w:r w:rsidRPr="00683075">
        <w:t xml:space="preserve">poistenia áut, kde </w:t>
      </w:r>
      <w:proofErr w:type="spellStart"/>
      <w:r w:rsidRPr="00683075">
        <w:t>škodovosť</w:t>
      </w:r>
      <w:proofErr w:type="spellEnd"/>
      <w:r w:rsidRPr="00683075">
        <w:t xml:space="preserve"> vzrástla</w:t>
      </w:r>
      <w:r w:rsidR="00BF0E04" w:rsidRPr="00683075">
        <w:t xml:space="preserve"> </w:t>
      </w:r>
      <w:r w:rsidRPr="00683075">
        <w:t>za posledný rok o takmer 13 p. b. Výrazný nárast</w:t>
      </w:r>
      <w:r w:rsidR="00BF0E04" w:rsidRPr="00683075">
        <w:t xml:space="preserve"> </w:t>
      </w:r>
      <w:proofErr w:type="spellStart"/>
      <w:r w:rsidRPr="00683075">
        <w:t>škodovosti</w:t>
      </w:r>
      <w:proofErr w:type="spellEnd"/>
      <w:r w:rsidR="003E557A">
        <w:t xml:space="preserve"> z </w:t>
      </w:r>
      <w:r w:rsidRPr="00683075">
        <w:t>33,3</w:t>
      </w:r>
      <w:r w:rsidR="003E557A">
        <w:t xml:space="preserve"> % v </w:t>
      </w:r>
      <w:r w:rsidRPr="00683075">
        <w:t>júni 2012 na 65</w:t>
      </w:r>
      <w:r w:rsidR="003E557A">
        <w:t xml:space="preserve"> % v </w:t>
      </w:r>
      <w:r w:rsidRPr="00683075">
        <w:t>júni 2013 bol zaznamenaný</w:t>
      </w:r>
      <w:r w:rsidR="003E557A">
        <w:t xml:space="preserve"> v </w:t>
      </w:r>
      <w:r w:rsidRPr="00683075">
        <w:t>prípade poistenia</w:t>
      </w:r>
      <w:r w:rsidR="00BF0E04" w:rsidRPr="00683075">
        <w:t xml:space="preserve"> </w:t>
      </w:r>
      <w:r w:rsidRPr="00683075">
        <w:t>škôd na iných ako pozemných dopravných</w:t>
      </w:r>
      <w:r w:rsidR="00BF0E04" w:rsidRPr="00683075">
        <w:t xml:space="preserve"> </w:t>
      </w:r>
      <w:r w:rsidRPr="00683075">
        <w:t>prostriedkoch.</w:t>
      </w:r>
    </w:p>
    <w:p w:rsidR="00EC7744" w:rsidRPr="00683075" w:rsidRDefault="00820B6E" w:rsidP="00683075">
      <w:r w:rsidRPr="00683075">
        <w:t>Kombinovaný ukazovateľ, ktorý okrem technických</w:t>
      </w:r>
      <w:r w:rsidR="00BF0E04" w:rsidRPr="00683075">
        <w:t xml:space="preserve"> </w:t>
      </w:r>
      <w:r w:rsidRPr="00683075">
        <w:t>nákladov zohľadňuje aj prevádzkové</w:t>
      </w:r>
      <w:r w:rsidR="00BF0E04" w:rsidRPr="00683075">
        <w:t xml:space="preserve"> </w:t>
      </w:r>
      <w:r w:rsidRPr="00683075">
        <w:t>náklady súvisiace</w:t>
      </w:r>
      <w:r w:rsidR="003E557A">
        <w:t xml:space="preserve"> s </w:t>
      </w:r>
      <w:r w:rsidRPr="00683075">
        <w:t>poisťovacou činnosťou,</w:t>
      </w:r>
      <w:r w:rsidR="00BF0E04" w:rsidRPr="00683075">
        <w:t xml:space="preserve"> </w:t>
      </w:r>
      <w:r w:rsidRPr="00683075">
        <w:t>zaznamenal za celý sektor medziročný nárast</w:t>
      </w:r>
      <w:r w:rsidR="00BF0E04" w:rsidRPr="00683075">
        <w:t xml:space="preserve"> </w:t>
      </w:r>
      <w:r w:rsidRPr="00683075">
        <w:t>o približne 5,5 p. b.</w:t>
      </w:r>
      <w:r w:rsidR="003E557A">
        <w:t xml:space="preserve"> v </w:t>
      </w:r>
      <w:r w:rsidRPr="00683075">
        <w:t>prípade havarijného</w:t>
      </w:r>
      <w:r w:rsidR="00BF0E04" w:rsidRPr="00683075">
        <w:t xml:space="preserve"> </w:t>
      </w:r>
      <w:r w:rsidRPr="00683075">
        <w:t>poistenia áut kombinovaný ukazovateľ dosiahol</w:t>
      </w:r>
      <w:r w:rsidR="00BF0E04" w:rsidRPr="00683075">
        <w:t xml:space="preserve"> </w:t>
      </w:r>
      <w:r w:rsidRPr="00683075">
        <w:t>hodnotu viac ako 113 %, čím sa dostal</w:t>
      </w:r>
      <w:r w:rsidR="00BF0E04" w:rsidRPr="00683075">
        <w:t xml:space="preserve"> </w:t>
      </w:r>
      <w:r w:rsidRPr="00683075">
        <w:t>do pásma, kedy je toto odvetvie stratové. Na</w:t>
      </w:r>
      <w:r w:rsidR="00BF0E04" w:rsidRPr="00683075">
        <w:t xml:space="preserve"> </w:t>
      </w:r>
      <w:r w:rsidRPr="00683075">
        <w:t>druhej strane,</w:t>
      </w:r>
      <w:r w:rsidR="003E557A">
        <w:t xml:space="preserve"> v </w:t>
      </w:r>
      <w:r w:rsidRPr="00683075">
        <w:t>poistení právnej ochrany,</w:t>
      </w:r>
      <w:r w:rsidR="00BF0E04" w:rsidRPr="00683075">
        <w:t xml:space="preserve"> </w:t>
      </w:r>
      <w:r w:rsidRPr="00683075">
        <w:t>ktoré bolo</w:t>
      </w:r>
      <w:r w:rsidR="003E557A">
        <w:t xml:space="preserve"> v </w:t>
      </w:r>
      <w:r w:rsidRPr="00683075">
        <w:t>prvom polroku 2012 stratové, sa</w:t>
      </w:r>
      <w:r w:rsidR="00BF0E04" w:rsidRPr="00683075">
        <w:t xml:space="preserve"> </w:t>
      </w:r>
      <w:r w:rsidRPr="00683075">
        <w:t>pohybuje kombinovaný ukazovateľ pod hranicou</w:t>
      </w:r>
      <w:r w:rsidR="00BF0E04" w:rsidRPr="00683075">
        <w:t xml:space="preserve"> </w:t>
      </w:r>
      <w:r w:rsidRPr="00683075">
        <w:t>100 %.</w:t>
      </w:r>
      <w:r w:rsidR="003E557A">
        <w:t xml:space="preserve"> v </w:t>
      </w:r>
      <w:r w:rsidRPr="00683075">
        <w:t>dôsledku nárastu o viac ako</w:t>
      </w:r>
      <w:r w:rsidR="00BF0E04" w:rsidRPr="00683075">
        <w:t xml:space="preserve"> </w:t>
      </w:r>
      <w:r w:rsidRPr="00683075">
        <w:t>27 p. b. dosiahlo relatívne vysokú hodnotu</w:t>
      </w:r>
      <w:r w:rsidR="00BF0E04" w:rsidRPr="00683075">
        <w:t xml:space="preserve"> </w:t>
      </w:r>
      <w:r w:rsidRPr="00683075">
        <w:t>kombinovaného ukazovateľa 90,5</w:t>
      </w:r>
      <w:r w:rsidR="003E557A">
        <w:t xml:space="preserve"> % </w:t>
      </w:r>
      <w:r w:rsidRPr="00683075">
        <w:t>aj poistenie</w:t>
      </w:r>
      <w:r w:rsidR="00BF0E04" w:rsidRPr="00683075">
        <w:t xml:space="preserve"> </w:t>
      </w:r>
      <w:r w:rsidRPr="00683075">
        <w:t>škôd na iných ako pozemných dopravných</w:t>
      </w:r>
      <w:r w:rsidR="00BF0E04" w:rsidRPr="00683075">
        <w:t xml:space="preserve"> </w:t>
      </w:r>
      <w:r w:rsidRPr="00683075">
        <w:t>prostriedkoch. Dlhodobo rastúci trend</w:t>
      </w:r>
      <w:r w:rsidR="003E557A">
        <w:t xml:space="preserve"> v </w:t>
      </w:r>
      <w:r w:rsidRPr="00683075">
        <w:t>kombinovanom ukazovateli (i</w:t>
      </w:r>
      <w:r w:rsidR="003E557A">
        <w:t xml:space="preserve"> v </w:t>
      </w:r>
      <w:proofErr w:type="spellStart"/>
      <w:r w:rsidRPr="00683075">
        <w:t>škodovosti</w:t>
      </w:r>
      <w:proofErr w:type="spellEnd"/>
      <w:r w:rsidRPr="00683075">
        <w:t>)</w:t>
      </w:r>
      <w:r w:rsidR="00BF0E04" w:rsidRPr="00683075">
        <w:t xml:space="preserve"> </w:t>
      </w:r>
      <w:r w:rsidRPr="00683075">
        <w:t>vykazuje poistenie úrazu</w:t>
      </w:r>
      <w:r w:rsidR="003E557A">
        <w:t xml:space="preserve"> a </w:t>
      </w:r>
      <w:r w:rsidRPr="00683075">
        <w:t>choroby. Tu oproti</w:t>
      </w:r>
      <w:r w:rsidR="00BF0E04" w:rsidRPr="00683075">
        <w:t xml:space="preserve"> </w:t>
      </w:r>
      <w:r w:rsidRPr="00683075">
        <w:t>minulému roku vzrástla hodnota kombinovaného</w:t>
      </w:r>
      <w:r w:rsidR="00BF0E04" w:rsidRPr="00683075">
        <w:t xml:space="preserve"> </w:t>
      </w:r>
      <w:r w:rsidRPr="00683075">
        <w:t>ukazovateľa iba o približne 3,5 p. b., úroveň</w:t>
      </w:r>
      <w:r w:rsidR="00BF0E04" w:rsidRPr="00683075">
        <w:t xml:space="preserve"> </w:t>
      </w:r>
      <w:r w:rsidRPr="00683075">
        <w:t>ukazovateľa je však viac ako 91 %.</w:t>
      </w:r>
    </w:p>
    <w:p w:rsidR="00EC7744" w:rsidRPr="00683075" w:rsidRDefault="00820B6E" w:rsidP="00D77337">
      <w:pPr>
        <w:pStyle w:val="zvyraznene"/>
      </w:pPr>
      <w:r w:rsidRPr="00683075">
        <w:t>Pokračuje mierny rast podielu zaistenia</w:t>
      </w:r>
    </w:p>
    <w:p w:rsidR="00EC7744" w:rsidRPr="00683075" w:rsidRDefault="00820B6E" w:rsidP="00683075">
      <w:r w:rsidRPr="00683075">
        <w:t>V prvom polroku 2013 slovenské poisťovne postúpili</w:t>
      </w:r>
      <w:r w:rsidR="00BF0E04" w:rsidRPr="00683075">
        <w:t xml:space="preserve"> </w:t>
      </w:r>
      <w:r w:rsidRPr="00683075">
        <w:t>zaisťovateľom technické poistné vo výške</w:t>
      </w:r>
      <w:r w:rsidR="00BF0E04" w:rsidRPr="00683075">
        <w:t xml:space="preserve"> </w:t>
      </w:r>
      <w:r w:rsidRPr="00683075">
        <w:t>163,5 mil. €, čo je o 4,4</w:t>
      </w:r>
      <w:r w:rsidR="003E557A">
        <w:t xml:space="preserve"> % </w:t>
      </w:r>
      <w:r w:rsidRPr="00683075">
        <w:t>viac ako</w:t>
      </w:r>
      <w:r w:rsidR="003E557A">
        <w:t xml:space="preserve"> v </w:t>
      </w:r>
      <w:r w:rsidRPr="00683075">
        <w:t>júni 2012.</w:t>
      </w:r>
      <w:r w:rsidR="00BF0E04" w:rsidRPr="00683075">
        <w:t xml:space="preserve"> </w:t>
      </w:r>
      <w:r w:rsidRPr="00683075">
        <w:t>Technické poistné postúpené zaisťovateľovi tak</w:t>
      </w:r>
      <w:r w:rsidR="00BF0E04" w:rsidRPr="00683075">
        <w:t xml:space="preserve"> </w:t>
      </w:r>
      <w:r w:rsidRPr="00683075">
        <w:t>tvorilo 15,3</w:t>
      </w:r>
      <w:r w:rsidR="003E557A">
        <w:t xml:space="preserve"> % z </w:t>
      </w:r>
      <w:r w:rsidRPr="00683075">
        <w:t>celkového technického poistného.</w:t>
      </w:r>
      <w:r w:rsidR="00BF0E04" w:rsidRPr="00683075">
        <w:t xml:space="preserve"> </w:t>
      </w:r>
      <w:r w:rsidRPr="00683075">
        <w:t>Najvyššia miera zaistenia, 31 %, bola už tradične</w:t>
      </w:r>
      <w:r w:rsidR="003E557A">
        <w:t xml:space="preserve"> v </w:t>
      </w:r>
      <w:r w:rsidRPr="00683075">
        <w:t>neživotnom poistení.</w:t>
      </w:r>
    </w:p>
    <w:p w:rsidR="00EC7744" w:rsidRPr="00683075" w:rsidRDefault="00820B6E" w:rsidP="00683075">
      <w:r w:rsidRPr="00683075">
        <w:lastRenderedPageBreak/>
        <w:t>Pomer postúpeného poistného</w:t>
      </w:r>
      <w:r w:rsidR="003E557A">
        <w:t xml:space="preserve"> v </w:t>
      </w:r>
      <w:r w:rsidRPr="00683075">
        <w:t>neživotnom poistení</w:t>
      </w:r>
      <w:r w:rsidR="00BF0E04" w:rsidRPr="00683075">
        <w:t xml:space="preserve"> </w:t>
      </w:r>
      <w:r w:rsidRPr="00683075">
        <w:t>rástol najviac</w:t>
      </w:r>
      <w:r w:rsidR="003E557A">
        <w:t xml:space="preserve"> v </w:t>
      </w:r>
      <w:r w:rsidRPr="00683075">
        <w:t>poistení škôd na iných ako</w:t>
      </w:r>
      <w:r w:rsidR="00BF0E04" w:rsidRPr="00683075">
        <w:t xml:space="preserve"> </w:t>
      </w:r>
      <w:r w:rsidRPr="00683075">
        <w:t>pozemných dopravných prostriedkoch (z 55,2</w:t>
      </w:r>
      <w:r w:rsidR="003E557A">
        <w:t xml:space="preserve"> % v </w:t>
      </w:r>
      <w:r w:rsidRPr="00683075">
        <w:t>júni 2012 na 60,2 %)</w:t>
      </w:r>
      <w:r w:rsidR="003E557A">
        <w:t xml:space="preserve"> a v </w:t>
      </w:r>
      <w:r w:rsidRPr="00683075">
        <w:t>poistení majetku (zo</w:t>
      </w:r>
      <w:r w:rsidR="00BF0E04" w:rsidRPr="00683075">
        <w:t xml:space="preserve"> </w:t>
      </w:r>
      <w:r w:rsidRPr="00683075">
        <w:t>40,1</w:t>
      </w:r>
      <w:r w:rsidR="003E557A">
        <w:t xml:space="preserve"> % v </w:t>
      </w:r>
      <w:r w:rsidRPr="00683075">
        <w:t>júni 2012 na 44,7 %). PZP</w:t>
      </w:r>
      <w:r w:rsidR="003E557A">
        <w:t xml:space="preserve"> a </w:t>
      </w:r>
      <w:r w:rsidRPr="00683075">
        <w:t>havarijné poistenie</w:t>
      </w:r>
      <w:r w:rsidR="00BF0E04" w:rsidRPr="00683075">
        <w:t xml:space="preserve"> </w:t>
      </w:r>
      <w:r w:rsidRPr="00683075">
        <w:t>ostali bez výraznejších zmien. Najmenej</w:t>
      </w:r>
      <w:r w:rsidR="00BF0E04" w:rsidRPr="00683075">
        <w:t xml:space="preserve"> </w:t>
      </w:r>
      <w:r w:rsidRPr="00683075">
        <w:t>zaisťované odvetvia sú naďalej všetky odvetvia</w:t>
      </w:r>
      <w:r w:rsidR="00BF0E04" w:rsidRPr="00683075">
        <w:t xml:space="preserve"> </w:t>
      </w:r>
      <w:r w:rsidRPr="00683075">
        <w:t>životného poistenia (pod 10 %), poistenie úrazu</w:t>
      </w:r>
      <w:r w:rsidR="003E557A">
        <w:t xml:space="preserve"> a </w:t>
      </w:r>
      <w:r w:rsidRPr="00683075">
        <w:t>choroby (17,8 %), havarijné poistenie (15,8 %)</w:t>
      </w:r>
      <w:r w:rsidR="003E557A">
        <w:t xml:space="preserve"> a </w:t>
      </w:r>
      <w:r w:rsidRPr="00683075">
        <w:t>poistenie úveru, kaucie</w:t>
      </w:r>
      <w:r w:rsidR="003E557A">
        <w:t xml:space="preserve"> a </w:t>
      </w:r>
      <w:r w:rsidRPr="00683075">
        <w:t>rôznych finančných</w:t>
      </w:r>
      <w:r w:rsidR="00BF0E04" w:rsidRPr="00683075">
        <w:t xml:space="preserve"> </w:t>
      </w:r>
      <w:r w:rsidRPr="00683075">
        <w:t>strát (11,7 %).</w:t>
      </w:r>
    </w:p>
    <w:p w:rsidR="00820B6E" w:rsidRPr="00683075" w:rsidRDefault="00820B6E" w:rsidP="00683075">
      <w:r w:rsidRPr="00683075">
        <w:t>Výška podielu zaistenia poistných plnení poklesla</w:t>
      </w:r>
      <w:r w:rsidR="00BF0E04" w:rsidRPr="00683075">
        <w:t xml:space="preserve"> </w:t>
      </w:r>
      <w:r w:rsidRPr="00683075">
        <w:t>pod úroveň zaistenia poistného</w:t>
      </w:r>
      <w:r w:rsidR="003E557A">
        <w:t xml:space="preserve"> a </w:t>
      </w:r>
      <w:r w:rsidRPr="00683075">
        <w:t>ich rozdiel</w:t>
      </w:r>
      <w:r w:rsidR="00BF0E04" w:rsidRPr="00683075">
        <w:t xml:space="preserve"> </w:t>
      </w:r>
      <w:r w:rsidRPr="00683075">
        <w:t>bol približne 5,7 p. b.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Technické rezervy</w:t>
      </w:r>
      <w:r w:rsidR="003E557A">
        <w:t xml:space="preserve"> a </w:t>
      </w:r>
      <w:r w:rsidRPr="00683075">
        <w:t>ich umiestnenie sa významne</w:t>
      </w:r>
      <w:r w:rsidR="00BF0E04" w:rsidRPr="00683075">
        <w:t xml:space="preserve"> </w:t>
      </w:r>
      <w:r w:rsidRPr="00683075">
        <w:t>nemenili</w:t>
      </w:r>
    </w:p>
    <w:p w:rsidR="00EC7744" w:rsidRPr="00683075" w:rsidRDefault="00820B6E" w:rsidP="00683075">
      <w:r w:rsidRPr="00683075">
        <w:t>V prvom polroku 2013 dosiahli technické rezervy</w:t>
      </w:r>
      <w:r w:rsidR="00BF0E04" w:rsidRPr="00683075">
        <w:t xml:space="preserve"> </w:t>
      </w:r>
      <w:r w:rsidRPr="00683075">
        <w:t>výšku 4,93 mld. € (medziročný nárast o 4,1 %). Na</w:t>
      </w:r>
      <w:r w:rsidR="00BF0E04" w:rsidRPr="00683075">
        <w:t xml:space="preserve"> </w:t>
      </w:r>
      <w:r w:rsidRPr="00683075">
        <w:t>tvorbe technických rezerv sa podieľali výhradne</w:t>
      </w:r>
      <w:r w:rsidR="00BF0E04" w:rsidRPr="00683075">
        <w:t xml:space="preserve"> </w:t>
      </w:r>
      <w:r w:rsidRPr="00683075">
        <w:t>odvetvia životného poistenia (196 mil. €, 5,3</w:t>
      </w:r>
      <w:r w:rsidR="003E557A">
        <w:t xml:space="preserve"> % </w:t>
      </w:r>
      <w:r w:rsidRPr="00683075">
        <w:t>medziročne); rezervy</w:t>
      </w:r>
      <w:r w:rsidR="003E557A">
        <w:t xml:space="preserve"> v </w:t>
      </w:r>
      <w:r w:rsidRPr="00683075">
        <w:t>neživotnom poistení zaznamenali</w:t>
      </w:r>
      <w:r w:rsidR="00BF0E04" w:rsidRPr="00683075">
        <w:t xml:space="preserve"> </w:t>
      </w:r>
      <w:r w:rsidRPr="00683075">
        <w:t>nepatrný pokles o 3,4 mil. €.</w:t>
      </w:r>
    </w:p>
    <w:p w:rsidR="00EC7744" w:rsidRPr="00683075" w:rsidRDefault="00820B6E" w:rsidP="00683075">
      <w:r w:rsidRPr="00683075">
        <w:t xml:space="preserve">V rámci životného poistenia rástla najviac </w:t>
      </w:r>
      <w:proofErr w:type="spellStart"/>
      <w:r w:rsidRPr="00683075">
        <w:t>unit-linked</w:t>
      </w:r>
      <w:proofErr w:type="spellEnd"/>
      <w:r w:rsidR="00BF0E04" w:rsidRPr="00683075">
        <w:t xml:space="preserve"> </w:t>
      </w:r>
      <w:r w:rsidRPr="00683075">
        <w:t>rezerva (96 mil. €)</w:t>
      </w:r>
      <w:r w:rsidR="003E557A">
        <w:t xml:space="preserve"> a </w:t>
      </w:r>
      <w:r w:rsidRPr="00683075">
        <w:t xml:space="preserve">rezerva na životné </w:t>
      </w:r>
      <w:proofErr w:type="spellStart"/>
      <w:r w:rsidRPr="00683075">
        <w:t>poiste</w:t>
      </w:r>
      <w:proofErr w:type="spellEnd"/>
    </w:p>
    <w:p w:rsidR="00EC7744" w:rsidRPr="00683075" w:rsidRDefault="00EC7744" w:rsidP="00683075"/>
    <w:p w:rsidR="00DD769C" w:rsidRDefault="00DD769C" w:rsidP="00DD769C">
      <w:pPr>
        <w:pStyle w:val="Popis"/>
        <w:keepNext/>
      </w:pPr>
      <w:r>
        <w:lastRenderedPageBreak/>
        <w:t>Tabuľka</w:t>
      </w:r>
      <w:fldSimple w:instr=" SEQ Tabuľka \* ARABIC ">
        <w:r>
          <w:rPr>
            <w:noProof/>
          </w:rPr>
          <w:t>1</w:t>
        </w:r>
      </w:fldSimple>
      <w:r>
        <w:t xml:space="preserve"> </w:t>
      </w:r>
      <w:proofErr w:type="spellStart"/>
      <w:r w:rsidRPr="0021214D">
        <w:t>Škodovosť</w:t>
      </w:r>
      <w:proofErr w:type="spellEnd"/>
      <w:r w:rsidRPr="0021214D">
        <w:t>, nákladovosť</w:t>
      </w:r>
      <w:r w:rsidR="003E557A">
        <w:t xml:space="preserve"> a </w:t>
      </w:r>
      <w:r w:rsidRPr="0021214D">
        <w:t>kombinovaný ukazovateľ skupín neživotného poistenia za prvý polrok 2013 (%)</w:t>
      </w:r>
    </w:p>
    <w:tbl>
      <w:tblPr>
        <w:tblStyle w:val="Mriekatabuky"/>
        <w:tblpPr w:leftFromText="141" w:rightFromText="141" w:vertAnchor="text" w:tblpY="1"/>
        <w:tblOverlap w:val="never"/>
        <w:tblW w:w="4587" w:type="dxa"/>
        <w:shd w:val="clear" w:color="000000" w:fill="auto"/>
        <w:tblLayout w:type="fixed"/>
        <w:tblLook w:val="04A0"/>
      </w:tblPr>
      <w:tblGrid>
        <w:gridCol w:w="1188"/>
        <w:gridCol w:w="1047"/>
        <w:gridCol w:w="1134"/>
        <w:gridCol w:w="1218"/>
      </w:tblGrid>
      <w:tr w:rsidR="00F72424" w:rsidRPr="00F72424" w:rsidTr="00DD769C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rPr>
                <w:sz w:val="18"/>
                <w:szCs w:val="18"/>
              </w:rPr>
            </w:pPr>
            <w:proofErr w:type="spellStart"/>
            <w:r w:rsidRPr="00DD769C">
              <w:rPr>
                <w:sz w:val="18"/>
                <w:szCs w:val="18"/>
              </w:rPr>
              <w:t>Škodovosť</w:t>
            </w:r>
            <w:proofErr w:type="spellEnd"/>
            <w:r w:rsidRPr="00DD76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Nákladovosť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Kombinovaný ukazovateľ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Životné poistenie – pripoistenie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32,9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34,9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67,8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Poistenie úrazu</w:t>
            </w:r>
            <w:r w:rsidR="003E557A">
              <w:rPr>
                <w:sz w:val="18"/>
                <w:szCs w:val="18"/>
              </w:rPr>
              <w:t xml:space="preserve"> a </w:t>
            </w:r>
            <w:r w:rsidRPr="00DD769C">
              <w:rPr>
                <w:sz w:val="18"/>
                <w:szCs w:val="18"/>
              </w:rPr>
              <w:t>choroby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48,6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42,5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91,1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PZP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49,4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29,6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79,0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Poistenie motorových vozidiel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80,8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32,7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113,4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Poistenie škôd na iných ako pozemných dopravných prostriedkoch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25,5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90,5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 xml:space="preserve">Poistenie zodpovednosti dopravcu 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32,7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33,4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66,1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Poistenie majetku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31,4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36,5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68,0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Všeobecné poistenie zodpovednosti za škodu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33,6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0,3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63,9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Poistenie úveru, kaucie</w:t>
            </w:r>
            <w:r w:rsidR="003E557A">
              <w:rPr>
                <w:sz w:val="18"/>
                <w:szCs w:val="18"/>
              </w:rPr>
              <w:t xml:space="preserve"> a </w:t>
            </w:r>
            <w:r w:rsidRPr="00DD769C">
              <w:rPr>
                <w:sz w:val="18"/>
                <w:szCs w:val="18"/>
              </w:rPr>
              <w:t>rôznych finančných strát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28,5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42,3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70,9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Poistenie právnej ochrany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30,3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69,1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99,4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Asistenčné poistenie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34,2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44,4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78,6</w:t>
            </w:r>
          </w:p>
        </w:tc>
      </w:tr>
      <w:tr w:rsidR="00F72424" w:rsidRPr="00F72424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Aktívne zaistenie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18,0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43,1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61,2</w:t>
            </w:r>
          </w:p>
        </w:tc>
      </w:tr>
      <w:tr w:rsidR="00F72424" w:rsidRPr="00683075" w:rsidTr="004A42B4">
        <w:tc>
          <w:tcPr>
            <w:tcW w:w="1188" w:type="dxa"/>
            <w:shd w:val="clear" w:color="000000" w:fill="auto"/>
            <w:vAlign w:val="center"/>
          </w:tcPr>
          <w:p w:rsidR="00F72424" w:rsidRPr="00DD769C" w:rsidRDefault="00F72424" w:rsidP="00FA3DCE">
            <w:pPr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Spolu</w:t>
            </w:r>
          </w:p>
        </w:tc>
        <w:tc>
          <w:tcPr>
            <w:tcW w:w="1047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47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50,8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65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>33,6</w:t>
            </w:r>
          </w:p>
        </w:tc>
        <w:tc>
          <w:tcPr>
            <w:tcW w:w="1218" w:type="dxa"/>
            <w:shd w:val="clear" w:color="000000" w:fill="auto"/>
            <w:vAlign w:val="center"/>
          </w:tcPr>
          <w:p w:rsidR="00F72424" w:rsidRPr="00DD769C" w:rsidRDefault="00F72424" w:rsidP="004A42B4">
            <w:pPr>
              <w:tabs>
                <w:tab w:val="decimal" w:pos="471"/>
              </w:tabs>
              <w:spacing w:after="0"/>
              <w:jc w:val="left"/>
              <w:rPr>
                <w:sz w:val="18"/>
                <w:szCs w:val="18"/>
              </w:rPr>
            </w:pPr>
            <w:r w:rsidRPr="00DD769C">
              <w:rPr>
                <w:sz w:val="18"/>
                <w:szCs w:val="18"/>
              </w:rPr>
              <w:t xml:space="preserve">84,4 </w:t>
            </w:r>
          </w:p>
        </w:tc>
      </w:tr>
    </w:tbl>
    <w:p w:rsidR="00EC7744" w:rsidRPr="00683075" w:rsidRDefault="00820B6E" w:rsidP="00683075">
      <w:r w:rsidRPr="00683075">
        <w:t>Zdroj: NBS.</w:t>
      </w:r>
    </w:p>
    <w:p w:rsidR="00EC7744" w:rsidRPr="00683075" w:rsidRDefault="00820B6E" w:rsidP="00683075">
      <w:r w:rsidRPr="00683075">
        <w:t>Objem aktív kryjúcich technické rezervy okrem</w:t>
      </w:r>
      <w:r w:rsidR="00BF0E04" w:rsidRPr="00683075">
        <w:t xml:space="preserve"> </w:t>
      </w:r>
      <w:r w:rsidRPr="00683075">
        <w:t>rezervy na záväzky</w:t>
      </w:r>
      <w:r w:rsidR="003E557A">
        <w:t xml:space="preserve"> z </w:t>
      </w:r>
      <w:r w:rsidRPr="00683075">
        <w:t>finančného umiestnenia</w:t>
      </w:r>
      <w:r w:rsidR="003E557A">
        <w:t xml:space="preserve"> v </w:t>
      </w:r>
      <w:r w:rsidRPr="00683075">
        <w:t>mene poistených od júna 2012 vzrástol</w:t>
      </w:r>
      <w:r w:rsidR="00BF0E04" w:rsidRPr="00683075">
        <w:t xml:space="preserve"> </w:t>
      </w:r>
      <w:r w:rsidRPr="00683075">
        <w:t>o 155 mil. €</w:t>
      </w:r>
      <w:r w:rsidR="003E557A">
        <w:t xml:space="preserve"> a </w:t>
      </w:r>
      <w:r w:rsidRPr="00683075">
        <w:t>dosiahol tak hodnotu 4,55 mld. €.</w:t>
      </w:r>
      <w:r w:rsidR="00BF0E04" w:rsidRPr="00683075">
        <w:t xml:space="preserve"> </w:t>
      </w:r>
      <w:r w:rsidRPr="00683075">
        <w:t>Technické rezervy okrem rezervy na záväzky</w:t>
      </w:r>
      <w:r w:rsidR="003E557A">
        <w:t xml:space="preserve"> z </w:t>
      </w:r>
      <w:r w:rsidRPr="00683075">
        <w:t>finančného</w:t>
      </w:r>
      <w:r w:rsidR="00BF0E04" w:rsidRPr="00683075">
        <w:t xml:space="preserve"> </w:t>
      </w:r>
      <w:r w:rsidRPr="00683075">
        <w:t>umiestnenia</w:t>
      </w:r>
      <w:r w:rsidR="003E557A">
        <w:t xml:space="preserve"> v </w:t>
      </w:r>
      <w:r w:rsidRPr="00683075">
        <w:t>mene poistených boli</w:t>
      </w:r>
      <w:r w:rsidR="00BF0E04" w:rsidRPr="00683075">
        <w:t xml:space="preserve"> </w:t>
      </w:r>
      <w:r w:rsidRPr="00683075">
        <w:t>pokryté aktívami na 117 %, čo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koncom</w:t>
      </w:r>
      <w:r w:rsidR="00BF0E04" w:rsidRPr="00683075">
        <w:t xml:space="preserve"> </w:t>
      </w:r>
      <w:r w:rsidRPr="00683075">
        <w:t>roka 2012 znamená pokles o 2 p. b.</w:t>
      </w:r>
    </w:p>
    <w:p w:rsidR="00EC7744" w:rsidRPr="00683075" w:rsidRDefault="00820B6E" w:rsidP="00683075">
      <w:r w:rsidRPr="00683075">
        <w:t>Objem štátnych dlhopisov</w:t>
      </w:r>
      <w:r w:rsidR="003E557A">
        <w:t xml:space="preserve"> v </w:t>
      </w:r>
      <w:r w:rsidRPr="00683075">
        <w:t>aktívach kryjúcich</w:t>
      </w:r>
      <w:r w:rsidR="00BF0E04" w:rsidRPr="00683075">
        <w:t xml:space="preserve"> </w:t>
      </w:r>
      <w:r w:rsidRPr="00683075">
        <w:t>technické rezervy vzrástol medziročne o 10</w:t>
      </w:r>
      <w:r w:rsidR="003E557A">
        <w:t xml:space="preserve"> % a </w:t>
      </w:r>
      <w:r w:rsidRPr="00683075">
        <w:t>ich podiel na týchto aktívach prekročil hranicu</w:t>
      </w:r>
      <w:r w:rsidR="00BF0E04" w:rsidRPr="00683075">
        <w:t xml:space="preserve"> </w:t>
      </w:r>
      <w:r w:rsidRPr="00683075">
        <w:t>50 %. Ďalej rástli iba termínované vklady (18</w:t>
      </w:r>
      <w:r w:rsidR="003E557A">
        <w:t xml:space="preserve"> % </w:t>
      </w:r>
      <w:r w:rsidRPr="00683075">
        <w:t>medziročne), podiel zaisťovateľov (8 %)</w:t>
      </w:r>
      <w:r w:rsidR="003E557A">
        <w:t xml:space="preserve"> a </w:t>
      </w:r>
      <w:r w:rsidRPr="00683075">
        <w:t>akcie</w:t>
      </w:r>
      <w:r w:rsidR="003E557A">
        <w:t xml:space="preserve"> a </w:t>
      </w:r>
      <w:r w:rsidRPr="00683075">
        <w:t>podielové listy (5 %). Ostatné triedy aktív zaznamenali</w:t>
      </w:r>
      <w:r w:rsidR="00BF0E04" w:rsidRPr="00683075">
        <w:t xml:space="preserve"> </w:t>
      </w:r>
      <w:r w:rsidRPr="00683075">
        <w:t>medziročne pokles</w:t>
      </w:r>
      <w:r w:rsidR="003E557A">
        <w:t xml:space="preserve"> v </w:t>
      </w:r>
      <w:r w:rsidRPr="00683075">
        <w:t>objeme, týkalo sa to</w:t>
      </w:r>
      <w:r w:rsidR="00BF0E04" w:rsidRPr="00683075">
        <w:t xml:space="preserve"> </w:t>
      </w:r>
      <w:r w:rsidRPr="00683075">
        <w:t>hlavne dlhopisov</w:t>
      </w:r>
      <w:r w:rsidR="003E557A">
        <w:t xml:space="preserve"> s </w:t>
      </w:r>
      <w:r w:rsidRPr="00683075">
        <w:t>výnimkou štátnych. Väčšina</w:t>
      </w:r>
      <w:r w:rsidR="00BF0E04" w:rsidRPr="00683075">
        <w:t xml:space="preserve"> </w:t>
      </w:r>
      <w:r w:rsidRPr="00683075">
        <w:t>zmien sa odohrala</w:t>
      </w:r>
      <w:r w:rsidR="003E557A">
        <w:t xml:space="preserve"> v </w:t>
      </w:r>
      <w:r w:rsidRPr="00683075">
        <w:t>druhej polovici roka 2012.</w:t>
      </w:r>
      <w:r w:rsidR="00BF0E04" w:rsidRPr="00683075">
        <w:t xml:space="preserve"> </w:t>
      </w:r>
      <w:r w:rsidRPr="00683075">
        <w:t>Zmeny</w:t>
      </w:r>
      <w:r w:rsidR="003E557A">
        <w:t xml:space="preserve"> v </w:t>
      </w:r>
      <w:r w:rsidRPr="00683075">
        <w:t>prvom polroku 2013 boli iba mierne.</w:t>
      </w:r>
    </w:p>
    <w:p w:rsidR="00EC7744" w:rsidRPr="00683075" w:rsidRDefault="00820B6E" w:rsidP="00D77337">
      <w:pPr>
        <w:pStyle w:val="zvyraznene"/>
      </w:pPr>
      <w:r w:rsidRPr="00683075">
        <w:t>Ziskovosť poisťovní sa medziročne zásadne</w:t>
      </w:r>
      <w:r w:rsidR="00BF0E04" w:rsidRPr="00683075">
        <w:t xml:space="preserve"> </w:t>
      </w:r>
      <w:r w:rsidRPr="00683075">
        <w:t>nezmenila</w:t>
      </w:r>
    </w:p>
    <w:p w:rsidR="00EC7744" w:rsidRPr="00683075" w:rsidRDefault="00820B6E" w:rsidP="00683075">
      <w:r w:rsidRPr="00683075">
        <w:t>Zisk poisťovní za prvý polrok 2013 na úrovni</w:t>
      </w:r>
      <w:r w:rsidR="00BF0E04" w:rsidRPr="00683075">
        <w:t xml:space="preserve"> </w:t>
      </w:r>
      <w:r w:rsidRPr="00683075">
        <w:t>93,7 mil. €,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rovnakým obdobím minulého</w:t>
      </w:r>
      <w:r w:rsidR="00BF0E04" w:rsidRPr="00683075">
        <w:t xml:space="preserve"> </w:t>
      </w:r>
      <w:r w:rsidRPr="00683075">
        <w:t>roka, klesol o 0,8 %, čo nemožno považovať</w:t>
      </w:r>
      <w:r w:rsidR="00BF0E04" w:rsidRPr="00683075">
        <w:t xml:space="preserve"> </w:t>
      </w:r>
      <w:r w:rsidRPr="00683075">
        <w:t>za výraznú zmenu</w:t>
      </w:r>
      <w:r w:rsidR="003E557A">
        <w:t xml:space="preserve"> v </w:t>
      </w:r>
      <w:r w:rsidRPr="00683075">
        <w:t>ziskovosti.</w:t>
      </w:r>
    </w:p>
    <w:p w:rsidR="00820B6E" w:rsidRPr="00683075" w:rsidRDefault="00820B6E" w:rsidP="00683075">
      <w:r w:rsidRPr="00683075">
        <w:t>Zisk vzrástol medziročne u piatich poisťovní,</w:t>
      </w:r>
      <w:r w:rsidR="003E557A">
        <w:t xml:space="preserve"> v </w:t>
      </w:r>
      <w:r w:rsidRPr="00683075">
        <w:t>strate skončili dve poisťovne. Viac ako 72</w:t>
      </w:r>
      <w:r w:rsidR="003E557A">
        <w:t xml:space="preserve"> % z </w:t>
      </w:r>
      <w:r w:rsidRPr="00683075">
        <w:t>kladného hospodárskeho výsledku bolo koncentrovaného</w:t>
      </w:r>
      <w:r w:rsidR="003E557A">
        <w:t xml:space="preserve"> v </w:t>
      </w:r>
      <w:r w:rsidRPr="00683075">
        <w:t>troch najväčších poisťovniach,</w:t>
      </w:r>
      <w:r w:rsidR="00BF0E04" w:rsidRPr="00683075">
        <w:t xml:space="preserve"> </w:t>
      </w:r>
      <w:r w:rsidRPr="00683075">
        <w:t>ktorých podiel na aktívach sektora bol mierne</w:t>
      </w:r>
      <w:r w:rsidR="00BF0E04" w:rsidRPr="00683075">
        <w:t xml:space="preserve"> </w:t>
      </w:r>
      <w:r w:rsidRPr="00683075">
        <w:t>nad úrovňou 61</w:t>
      </w:r>
      <w:r w:rsidR="003E557A">
        <w:t xml:space="preserve"> % a </w:t>
      </w:r>
      <w:r w:rsidRPr="00683075">
        <w:t>podiel na technickom poistnom</w:t>
      </w:r>
      <w:r w:rsidR="00BF0E04" w:rsidRPr="00683075">
        <w:t xml:space="preserve"> </w:t>
      </w:r>
      <w:r w:rsidRPr="00683075">
        <w:t>takmer 59 %.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Nárast technických výnosov o 2,3</w:t>
      </w:r>
      <w:r w:rsidR="003E557A">
        <w:t xml:space="preserve"> % a </w:t>
      </w:r>
      <w:r w:rsidRPr="00683075">
        <w:t>pokles</w:t>
      </w:r>
      <w:r w:rsidR="00BF0E04" w:rsidRPr="00683075">
        <w:t xml:space="preserve"> </w:t>
      </w:r>
      <w:r w:rsidRPr="00683075">
        <w:t>technických nákladov o 2,4</w:t>
      </w:r>
      <w:r w:rsidR="003E557A">
        <w:t xml:space="preserve"> % v </w:t>
      </w:r>
      <w:r w:rsidRPr="00683075">
        <w:t>prvom polroku</w:t>
      </w:r>
      <w:r w:rsidR="00BF0E04" w:rsidRPr="00683075">
        <w:t xml:space="preserve"> </w:t>
      </w:r>
      <w:r w:rsidRPr="00683075">
        <w:t>2013 dostal celkový technický výsledok</w:t>
      </w:r>
      <w:r w:rsidR="003E557A">
        <w:t xml:space="preserve"> z </w:t>
      </w:r>
      <w:r w:rsidRPr="00683075">
        <w:t>červených</w:t>
      </w:r>
      <w:r w:rsidR="00BF0E04" w:rsidRPr="00683075">
        <w:t xml:space="preserve"> </w:t>
      </w:r>
      <w:r w:rsidRPr="00683075">
        <w:t>čísel vykázaných</w:t>
      </w:r>
      <w:r w:rsidR="003E557A">
        <w:t xml:space="preserve"> v </w:t>
      </w:r>
      <w:r w:rsidRPr="00683075">
        <w:t>prvom polroku 2012.</w:t>
      </w:r>
      <w:r w:rsidR="003E557A">
        <w:t xml:space="preserve"> v </w:t>
      </w:r>
      <w:r w:rsidRPr="00683075">
        <w:t>technických výnosoch rástli hlavne čisté zaslúžené</w:t>
      </w:r>
      <w:r w:rsidR="00BF0E04" w:rsidRPr="00683075">
        <w:t xml:space="preserve"> </w:t>
      </w:r>
      <w:r w:rsidRPr="00683075">
        <w:t>poistné (1,3 %), aj keď tento rast bol pomalší</w:t>
      </w:r>
      <w:r w:rsidR="00BF0E04" w:rsidRPr="00683075">
        <w:t xml:space="preserve"> </w:t>
      </w:r>
      <w:r w:rsidRPr="00683075">
        <w:t>ako</w:t>
      </w:r>
      <w:r w:rsidR="003E557A">
        <w:t xml:space="preserve"> v </w:t>
      </w:r>
      <w:r w:rsidRPr="00683075">
        <w:t>prvom polroku 2012. Pod pokles na strane</w:t>
      </w:r>
      <w:r w:rsidR="00BF0E04" w:rsidRPr="00683075">
        <w:t xml:space="preserve"> </w:t>
      </w:r>
      <w:r w:rsidRPr="00683075">
        <w:t>nákladov sa podpísala hlavne zmena</w:t>
      </w:r>
      <w:r w:rsidR="003E557A">
        <w:t xml:space="preserve"> v </w:t>
      </w:r>
      <w:r w:rsidRPr="00683075">
        <w:t>stave</w:t>
      </w:r>
      <w:r w:rsidR="00BF0E04" w:rsidRPr="00683075">
        <w:t xml:space="preserve"> </w:t>
      </w:r>
      <w:r w:rsidRPr="00683075">
        <w:t>rezerv na krytie rizika</w:t>
      </w:r>
      <w:r w:rsidR="003E557A">
        <w:t xml:space="preserve"> z </w:t>
      </w:r>
      <w:r w:rsidRPr="00683075">
        <w:t>investovania finančných</w:t>
      </w:r>
      <w:r w:rsidR="00BF0E04" w:rsidRPr="00683075">
        <w:t xml:space="preserve"> </w:t>
      </w:r>
      <w:r w:rsidRPr="00683075">
        <w:t>prostriedkov</w:t>
      </w:r>
      <w:r w:rsidR="003E557A">
        <w:t xml:space="preserve"> v </w:t>
      </w:r>
      <w:r w:rsidRPr="00683075">
        <w:t>mene poistených až o 53 mil. €</w:t>
      </w:r>
      <w:r w:rsidR="00BF0E04" w:rsidRPr="00683075">
        <w:t xml:space="preserve"> </w:t>
      </w:r>
      <w:r w:rsidRPr="00683075">
        <w:t>(89 %). Prevádzkové náklady sa na zmene technického</w:t>
      </w:r>
      <w:r w:rsidR="00BF0E04" w:rsidRPr="00683075">
        <w:t xml:space="preserve"> </w:t>
      </w:r>
      <w:r w:rsidRPr="00683075">
        <w:t>výsledku výraznejšie neprejavili.</w:t>
      </w:r>
    </w:p>
    <w:p w:rsidR="00EC7744" w:rsidRPr="00683075" w:rsidRDefault="00820B6E" w:rsidP="00683075">
      <w:r w:rsidRPr="00683075">
        <w:t>Zásadný negatívny vplyv na ziskovosť poisťovní</w:t>
      </w:r>
      <w:r w:rsidR="00BF0E04" w:rsidRPr="00683075">
        <w:t xml:space="preserve"> </w:t>
      </w:r>
      <w:r w:rsidRPr="00683075">
        <w:t>mali zmeny vo finančnom výsledku sektora,</w:t>
      </w:r>
      <w:r w:rsidR="00BF0E04" w:rsidRPr="00683075">
        <w:t xml:space="preserve"> </w:t>
      </w:r>
      <w:r w:rsidRPr="00683075">
        <w:t>ktorý klesol o štvrtinu medziročne. Klesol najmä</w:t>
      </w:r>
      <w:r w:rsidR="00BF0E04" w:rsidRPr="00683075">
        <w:t xml:space="preserve"> </w:t>
      </w:r>
      <w:r w:rsidRPr="00683075">
        <w:t>finančný výsledok</w:t>
      </w:r>
      <w:r w:rsidR="003E557A">
        <w:t xml:space="preserve"> v </w:t>
      </w:r>
      <w:proofErr w:type="spellStart"/>
      <w:r w:rsidRPr="00683075">
        <w:t>unit-linked</w:t>
      </w:r>
      <w:proofErr w:type="spellEnd"/>
      <w:r w:rsidRPr="00683075">
        <w:t xml:space="preserve"> poistení, kde investície</w:t>
      </w:r>
      <w:r w:rsidR="00BF0E04" w:rsidRPr="00683075">
        <w:t xml:space="preserve"> </w:t>
      </w:r>
      <w:r w:rsidRPr="00683075">
        <w:t>dosiahli miernu stratu. Finančný výsledok</w:t>
      </w:r>
      <w:r w:rsidR="003E557A">
        <w:t xml:space="preserve"> z </w:t>
      </w:r>
      <w:r w:rsidRPr="00683075">
        <w:t>investícií, kde riziko nesie poisťovňa klesol</w:t>
      </w:r>
      <w:r w:rsidR="00BF0E04" w:rsidRPr="00683075">
        <w:t xml:space="preserve"> </w:t>
      </w:r>
      <w:r w:rsidRPr="00683075">
        <w:t>iba mierne.</w:t>
      </w:r>
    </w:p>
    <w:p w:rsidR="00EC7744" w:rsidRPr="00683075" w:rsidRDefault="00820B6E" w:rsidP="00D77337">
      <w:pPr>
        <w:pStyle w:val="zvyraznene"/>
      </w:pPr>
      <w:r w:rsidRPr="00683075">
        <w:t>Solventnosť vzrástla vďaka nerealizovaným ziskom</w:t>
      </w:r>
      <w:r w:rsidR="003E557A">
        <w:t xml:space="preserve"> z </w:t>
      </w:r>
      <w:r w:rsidRPr="00683075">
        <w:t>precenenia slovenských štátnych dlhopisov</w:t>
      </w:r>
    </w:p>
    <w:p w:rsidR="00EC7744" w:rsidRPr="00683075" w:rsidRDefault="00820B6E" w:rsidP="00683075">
      <w:r w:rsidRPr="00683075">
        <w:t>Ku koncu roka 2012 všetky poisťovne splnili požiadavky</w:t>
      </w:r>
      <w:r w:rsidR="00BF0E04" w:rsidRPr="00683075">
        <w:t xml:space="preserve"> </w:t>
      </w:r>
      <w:r w:rsidRPr="00683075">
        <w:t>na solventnosť, t. j. ich skutočná miera</w:t>
      </w:r>
      <w:r w:rsidR="00BF0E04" w:rsidRPr="00683075">
        <w:t xml:space="preserve"> </w:t>
      </w:r>
      <w:r w:rsidRPr="00683075">
        <w:t>solventnosti bola vyššia ako požadovaná miera</w:t>
      </w:r>
      <w:r w:rsidR="00BF0E04" w:rsidRPr="00683075">
        <w:t xml:space="preserve"> </w:t>
      </w:r>
      <w:r w:rsidRPr="00683075">
        <w:t>solventnosti. Celková solventnosť poistného</w:t>
      </w:r>
      <w:r w:rsidR="00BF0E04" w:rsidRPr="00683075">
        <w:t xml:space="preserve"> </w:t>
      </w:r>
      <w:r w:rsidRPr="00683075">
        <w:t>sektora vzrástla medziročne o 10,5</w:t>
      </w:r>
      <w:r w:rsidR="003E557A">
        <w:t xml:space="preserve"> % </w:t>
      </w:r>
      <w:r w:rsidRPr="00683075">
        <w:t>na hodnotu</w:t>
      </w:r>
      <w:r w:rsidR="00BF0E04" w:rsidRPr="00683075">
        <w:t xml:space="preserve"> </w:t>
      </w:r>
      <w:r w:rsidRPr="00683075">
        <w:t>1,17 mld. €, pričom požadovaná miera solventnosti</w:t>
      </w:r>
      <w:r w:rsidR="00BF0E04" w:rsidRPr="00683075">
        <w:t xml:space="preserve"> </w:t>
      </w:r>
      <w:r w:rsidRPr="00683075">
        <w:t>vzrástla o necelé dve percentá. Marža</w:t>
      </w:r>
      <w:r w:rsidR="00BF0E04" w:rsidRPr="00683075">
        <w:t xml:space="preserve"> </w:t>
      </w:r>
      <w:r w:rsidRPr="00683075">
        <w:t>solventnosti dosiahla úroveň 3,79, čo oproti roku</w:t>
      </w:r>
      <w:r w:rsidR="00BF0E04" w:rsidRPr="00683075">
        <w:t xml:space="preserve"> </w:t>
      </w:r>
      <w:r w:rsidRPr="00683075">
        <w:t>2011 znamená nárast o 0,3 p. b.</w:t>
      </w:r>
    </w:p>
    <w:p w:rsidR="00EC7744" w:rsidRPr="00683075" w:rsidRDefault="00820B6E" w:rsidP="00683075">
      <w:r w:rsidRPr="00683075">
        <w:t>Ako už bolo spomínané</w:t>
      </w:r>
      <w:r w:rsidR="003E557A">
        <w:t xml:space="preserve"> v </w:t>
      </w:r>
      <w:r w:rsidRPr="00683075">
        <w:t>Analýze slovenského</w:t>
      </w:r>
      <w:r w:rsidR="00BF0E04" w:rsidRPr="00683075">
        <w:t xml:space="preserve"> </w:t>
      </w:r>
      <w:r w:rsidRPr="00683075">
        <w:t>finančného sektora za rok 2012, solventnosť poisťovní</w:t>
      </w:r>
      <w:r w:rsidR="00BF0E04" w:rsidRPr="00683075">
        <w:t xml:space="preserve"> </w:t>
      </w:r>
      <w:r w:rsidRPr="00683075">
        <w:t>vzrástla iba</w:t>
      </w:r>
      <w:r w:rsidR="003E557A">
        <w:t xml:space="preserve"> z </w:t>
      </w:r>
      <w:r w:rsidRPr="00683075">
        <w:t>dôvodu nerealizovaných ziskov</w:t>
      </w:r>
      <w:r w:rsidR="003E557A">
        <w:t xml:space="preserve"> z </w:t>
      </w:r>
      <w:r w:rsidRPr="00683075">
        <w:t>precenenia dlhopisov</w:t>
      </w:r>
      <w:r w:rsidR="003E557A">
        <w:t xml:space="preserve"> v </w:t>
      </w:r>
      <w:r w:rsidRPr="00683075">
        <w:t>portfóliu na predaj</w:t>
      </w:r>
      <w:r w:rsidR="003E557A">
        <w:t xml:space="preserve"> v </w:t>
      </w:r>
      <w:r w:rsidRPr="00683075">
        <w:t>dôsledku poklesu úrokových sadzieb. Podiel</w:t>
      </w:r>
      <w:r w:rsidR="00BF0E04" w:rsidRPr="00683075">
        <w:t xml:space="preserve"> </w:t>
      </w:r>
      <w:r w:rsidRPr="00683075">
        <w:t>tohto portfólia na celkovom dlhopisovom portfóliu</w:t>
      </w:r>
      <w:r w:rsidR="00BF0E04" w:rsidRPr="00683075">
        <w:t xml:space="preserve"> </w:t>
      </w:r>
      <w:r w:rsidRPr="00683075">
        <w:t>stúpol nad 58</w:t>
      </w:r>
      <w:r w:rsidR="003E557A">
        <w:t xml:space="preserve"> % k </w:t>
      </w:r>
      <w:r w:rsidRPr="00683075">
        <w:t>30. 6. 2013</w:t>
      </w:r>
      <w:r w:rsidR="003E557A">
        <w:t xml:space="preserve"> a </w:t>
      </w:r>
      <w:r w:rsidRPr="00683075">
        <w:t>vo viacerých</w:t>
      </w:r>
      <w:r w:rsidR="00BF0E04" w:rsidRPr="00683075">
        <w:t xml:space="preserve"> </w:t>
      </w:r>
      <w:r w:rsidRPr="00683075">
        <w:t>poisťovniach tvoril až 100</w:t>
      </w:r>
      <w:r w:rsidR="003E557A">
        <w:t xml:space="preserve"> % </w:t>
      </w:r>
      <w:r w:rsidRPr="00683075">
        <w:t>dlhopisového portfólia.</w:t>
      </w:r>
    </w:p>
    <w:p w:rsidR="00EC7744" w:rsidRPr="00683075" w:rsidRDefault="00820B6E" w:rsidP="00683075">
      <w:r w:rsidRPr="00683075">
        <w:t>Nárast vlastných zdrojov tak môžeme chápať</w:t>
      </w:r>
      <w:r w:rsidR="00BF0E04" w:rsidRPr="00683075">
        <w:t xml:space="preserve"> </w:t>
      </w:r>
      <w:r w:rsidRPr="00683075">
        <w:t>ako vytvorenie istého vankúša pred opätovným</w:t>
      </w:r>
      <w:r w:rsidR="00BF0E04" w:rsidRPr="00683075">
        <w:t xml:space="preserve"> </w:t>
      </w:r>
      <w:r w:rsidRPr="00683075">
        <w:t>nárastom úrokových sadzieb.</w:t>
      </w:r>
      <w:r w:rsidR="003E557A">
        <w:t xml:space="preserve"> k </w:t>
      </w:r>
      <w:r w:rsidRPr="00683075">
        <w:t>30. júnu 2013</w:t>
      </w:r>
      <w:r w:rsidR="003E557A">
        <w:t xml:space="preserve"> v </w:t>
      </w:r>
      <w:r w:rsidRPr="00683075">
        <w:t>dôsledku mierneho nárastu úrokových sadzieb</w:t>
      </w:r>
      <w:r w:rsidR="00BF0E04" w:rsidRPr="00683075">
        <w:t xml:space="preserve"> </w:t>
      </w:r>
      <w:r w:rsidRPr="00683075">
        <w:t>poklesli kladné nerealizované zisky o 30 mil. €.</w:t>
      </w:r>
      <w:r w:rsidR="00BF0E04" w:rsidRPr="00683075">
        <w:t xml:space="preserve"> </w:t>
      </w:r>
      <w:r w:rsidRPr="00683075">
        <w:t>Zároveň je potrebné upozorniť na riziko dlhopisov,</w:t>
      </w:r>
      <w:r w:rsidR="00BF0E04" w:rsidRPr="00683075">
        <w:t xml:space="preserve"> </w:t>
      </w:r>
      <w:r w:rsidRPr="00683075">
        <w:t>ktoré sa</w:t>
      </w:r>
      <w:r w:rsidR="003E557A">
        <w:t xml:space="preserve"> v </w:t>
      </w:r>
      <w:r w:rsidRPr="00683075">
        <w:t>súčasnosti nakupujú do portfólia</w:t>
      </w:r>
      <w:r w:rsidR="00BF0E04" w:rsidRPr="00683075">
        <w:t xml:space="preserve"> </w:t>
      </w:r>
      <w:r w:rsidRPr="00683075">
        <w:t>na obchodovanie.</w:t>
      </w:r>
      <w:r w:rsidR="003E557A">
        <w:t xml:space="preserve"> v </w:t>
      </w:r>
      <w:r w:rsidRPr="00683075">
        <w:t>prípade nárastu úrokových</w:t>
      </w:r>
      <w:r w:rsidR="00BF0E04" w:rsidRPr="00683075">
        <w:t xml:space="preserve"> </w:t>
      </w:r>
      <w:r w:rsidRPr="00683075">
        <w:t>sadzieb by sa strata</w:t>
      </w:r>
      <w:r w:rsidR="003E557A">
        <w:t xml:space="preserve"> z </w:t>
      </w:r>
      <w:r w:rsidRPr="00683075">
        <w:t>týchto dlhopisov premietla</w:t>
      </w:r>
      <w:r w:rsidR="00BF0E04" w:rsidRPr="00683075">
        <w:t xml:space="preserve"> </w:t>
      </w:r>
      <w:r w:rsidRPr="00683075">
        <w:t>do vlastných zdrojov, kde však nie sú vytvorené</w:t>
      </w:r>
      <w:r w:rsidR="00BF0E04" w:rsidRPr="00683075">
        <w:t xml:space="preserve"> </w:t>
      </w:r>
      <w:r w:rsidRPr="00683075">
        <w:t xml:space="preserve">rezervy na </w:t>
      </w:r>
      <w:proofErr w:type="spellStart"/>
      <w:r w:rsidRPr="00683075">
        <w:t>novonakupované</w:t>
      </w:r>
      <w:proofErr w:type="spellEnd"/>
      <w:r w:rsidRPr="00683075">
        <w:t xml:space="preserve"> dlhopisy. Preto by</w:t>
      </w:r>
      <w:r w:rsidR="00BF0E04" w:rsidRPr="00683075">
        <w:t xml:space="preserve"> </w:t>
      </w:r>
      <w:r w:rsidRPr="00683075">
        <w:t>poisťovne mali vytvoriť dostatočný vankúš zo</w:t>
      </w:r>
      <w:r w:rsidR="00BF0E04" w:rsidRPr="00683075">
        <w:t xml:space="preserve"> </w:t>
      </w:r>
      <w:r w:rsidRPr="00683075">
        <w:t>zisku na precenenie dlhopisov</w:t>
      </w:r>
      <w:r w:rsidR="003E557A">
        <w:t xml:space="preserve"> v </w:t>
      </w:r>
      <w:r w:rsidRPr="00683075">
        <w:t>portfóliu na predaj</w:t>
      </w:r>
      <w:r w:rsidR="00BF0E04" w:rsidRPr="00683075">
        <w:t xml:space="preserve"> </w:t>
      </w:r>
      <w:r w:rsidRPr="00683075">
        <w:t>pre prípad nárastu úrokových sadzieb.</w:t>
      </w:r>
    </w:p>
    <w:p w:rsidR="00EC7744" w:rsidRPr="00683075" w:rsidRDefault="00820B6E" w:rsidP="0002424C">
      <w:pPr>
        <w:pStyle w:val="Nadpis2"/>
      </w:pPr>
      <w:bookmarkStart w:id="10" w:name="_Toc376206544"/>
      <w:r w:rsidRPr="00683075">
        <w:lastRenderedPageBreak/>
        <w:t>Dôchodkové sporenie</w:t>
      </w:r>
      <w:bookmarkEnd w:id="10"/>
    </w:p>
    <w:p w:rsidR="00820B6E" w:rsidRPr="00683075" w:rsidRDefault="00820B6E" w:rsidP="00683075">
      <w:r w:rsidRPr="00683075">
        <w:t>V druhom pilieri dôchodkového sporenia došlo</w:t>
      </w:r>
      <w:r w:rsidR="003E557A">
        <w:t xml:space="preserve"> v </w:t>
      </w:r>
      <w:r w:rsidRPr="00683075">
        <w:t>priebehu prvého polroka 2013</w:t>
      </w:r>
      <w:r w:rsidR="003E557A">
        <w:t xml:space="preserve"> k </w:t>
      </w:r>
      <w:r w:rsidRPr="00683075">
        <w:t>zníženiu počtu</w:t>
      </w:r>
      <w:r w:rsidR="00BF0E04" w:rsidRPr="00683075">
        <w:t xml:space="preserve"> </w:t>
      </w:r>
      <w:r w:rsidRPr="00683075">
        <w:t>sporiteľov o niečo viac ako 30 tisíc.</w:t>
      </w:r>
      <w:r w:rsidR="003E557A">
        <w:t xml:space="preserve"> v </w:t>
      </w:r>
      <w:r w:rsidRPr="00683075">
        <w:t>tomto úbytku sa odráža predovšetkým negatívna bilancia</w:t>
      </w:r>
      <w:r w:rsidR="00BF0E04" w:rsidRPr="00683075">
        <w:t xml:space="preserve"> </w:t>
      </w:r>
      <w:r w:rsidRPr="00683075">
        <w:t>vstupov</w:t>
      </w:r>
      <w:r w:rsidR="003E557A">
        <w:t xml:space="preserve"> a </w:t>
      </w:r>
      <w:r w:rsidRPr="00683075">
        <w:t>výstupov</w:t>
      </w:r>
      <w:r w:rsidR="003E557A">
        <w:t xml:space="preserve"> v </w:t>
      </w:r>
      <w:r w:rsidRPr="00683075">
        <w:t>rámci otvorenia systému, ktoré</w:t>
      </w:r>
      <w:r w:rsidR="003E557A">
        <w:t xml:space="preserve"> z </w:t>
      </w:r>
      <w:r w:rsidRPr="00683075">
        <w:t>hľadiska aktivity kulminovalo</w:t>
      </w:r>
      <w:r w:rsidR="003E557A">
        <w:t xml:space="preserve"> v </w:t>
      </w:r>
      <w:r w:rsidRPr="00683075">
        <w:t>januári 2013.</w:t>
      </w:r>
      <w:r w:rsidR="00BF0E04" w:rsidRPr="00683075">
        <w:t xml:space="preserve"> </w:t>
      </w:r>
      <w:r w:rsidRPr="00683075">
        <w:t>Kľúčovou udalosťou sledovaného obdobia</w:t>
      </w:r>
      <w:r w:rsidR="003E557A">
        <w:t xml:space="preserve"> v </w:t>
      </w:r>
      <w:r w:rsidRPr="00683075">
        <w:t>systéme starobného dôchodkového sporenia bolo výrazné</w:t>
      </w:r>
      <w:r w:rsidR="00BF0E04" w:rsidRPr="00683075">
        <w:t xml:space="preserve"> </w:t>
      </w:r>
      <w:r w:rsidRPr="00683075">
        <w:t>preskupenie sporiteľov</w:t>
      </w:r>
      <w:r w:rsidR="003E557A">
        <w:t xml:space="preserve"> a </w:t>
      </w:r>
      <w:r w:rsidRPr="00683075">
        <w:t>tiež majetku medzi jednotlivými typmi dôchodkových fondov, ktoré súviselo</w:t>
      </w:r>
      <w:r w:rsidR="003E557A">
        <w:t xml:space="preserve"> s </w:t>
      </w:r>
      <w:r w:rsidRPr="00683075">
        <w:t>legislatívnou úpravou</w:t>
      </w:r>
      <w:r w:rsidR="003E557A">
        <w:t xml:space="preserve"> v </w:t>
      </w:r>
      <w:r w:rsidRPr="00683075">
        <w:t>oblasti nastavenia garancií. Viac ako 90</w:t>
      </w:r>
      <w:r w:rsidR="003E557A">
        <w:t xml:space="preserve"> % </w:t>
      </w:r>
      <w:r w:rsidRPr="00683075">
        <w:t>sporiteľov sa tak od začiatku</w:t>
      </w:r>
      <w:r w:rsidR="00BF0E04" w:rsidRPr="00683075">
        <w:t xml:space="preserve"> </w:t>
      </w:r>
      <w:r w:rsidRPr="00683075">
        <w:t>mája nachádzalo</w:t>
      </w:r>
      <w:r w:rsidR="003E557A">
        <w:t xml:space="preserve"> v </w:t>
      </w:r>
      <w:r w:rsidRPr="00683075">
        <w:t>dlhopisových dôchodkových fondoch, ktoré ako jediné zostali zo zákona povinne</w:t>
      </w:r>
      <w:r w:rsidR="00BF0E04" w:rsidRPr="00683075">
        <w:t xml:space="preserve"> </w:t>
      </w:r>
      <w:r w:rsidRPr="00683075">
        <w:t>garantované.</w:t>
      </w:r>
      <w:r w:rsidR="003E557A">
        <w:t xml:space="preserve"> v </w:t>
      </w:r>
      <w:r w:rsidRPr="00683075">
        <w:t>tomto kontexte zároveň väčšina dôchodkových správcovských spoločností pristúpila</w:t>
      </w:r>
      <w:r w:rsidR="003E557A">
        <w:t xml:space="preserve"> k </w:t>
      </w:r>
      <w:r w:rsidRPr="00683075">
        <w:t>zmene nastavenia investičnej stratégie</w:t>
      </w:r>
      <w:r w:rsidR="003E557A">
        <w:t xml:space="preserve"> v </w:t>
      </w:r>
      <w:r w:rsidRPr="00683075">
        <w:t>zmiešaných</w:t>
      </w:r>
      <w:r w:rsidR="003E557A">
        <w:t xml:space="preserve"> a </w:t>
      </w:r>
      <w:r w:rsidRPr="00683075">
        <w:t>akciových negarantovaných dôchodkových</w:t>
      </w:r>
      <w:r w:rsidR="00BF0E04" w:rsidRPr="00683075">
        <w:t xml:space="preserve"> </w:t>
      </w:r>
      <w:r w:rsidRPr="00683075">
        <w:t>fondoch. Po dlhšom období sa tak tieto ich dôchodkové fondy vyprofilovali na odlišný výnosovo-</w:t>
      </w:r>
    </w:p>
    <w:p w:rsidR="00820B6E" w:rsidRPr="00683075" w:rsidRDefault="00820B6E" w:rsidP="00683075">
      <w:r w:rsidRPr="00683075">
        <w:t>rizikový stupeň tým, že boli do ich portfólia</w:t>
      </w:r>
      <w:r w:rsidR="003E557A">
        <w:t xml:space="preserve"> v </w:t>
      </w:r>
      <w:r w:rsidRPr="00683075">
        <w:t>nezanedbateľnom zastúpení zaradené akciové investície.</w:t>
      </w:r>
      <w:r w:rsidR="00BF0E04" w:rsidRPr="00683075">
        <w:t xml:space="preserve"> </w:t>
      </w:r>
      <w:r w:rsidRPr="00683075">
        <w:t>Vo všetkých dôchodkových fondoch okrem indexových pokračoval trend zvyšovania ich zostatkovej</w:t>
      </w:r>
      <w:r w:rsidR="00BF0E04" w:rsidRPr="00683075">
        <w:t xml:space="preserve"> </w:t>
      </w:r>
      <w:r w:rsidRPr="00683075">
        <w:t>splatnosti</w:t>
      </w:r>
      <w:r w:rsidR="003E557A">
        <w:t xml:space="preserve"> a </w:t>
      </w:r>
      <w:proofErr w:type="spellStart"/>
      <w:r w:rsidRPr="00683075">
        <w:t>durácie</w:t>
      </w:r>
      <w:proofErr w:type="spellEnd"/>
      <w:r w:rsidRPr="00683075">
        <w:t>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V doplnkovom dôchodkovom sporení sa účastnícka základňa zmenšila o necelých 10 tisíc. Za týmto</w:t>
      </w:r>
      <w:r w:rsidR="00BF0E04" w:rsidRPr="00683075">
        <w:t xml:space="preserve"> </w:t>
      </w:r>
      <w:r w:rsidRPr="00683075">
        <w:t>poklesom však stáli výplatné doplnkové dôchodkové fondy, počet účastníkov</w:t>
      </w:r>
      <w:r w:rsidR="003E557A">
        <w:t xml:space="preserve"> v </w:t>
      </w:r>
      <w:r w:rsidRPr="00683075">
        <w:t>príspevkových</w:t>
      </w:r>
      <w:r w:rsidR="00BF0E04" w:rsidRPr="00683075">
        <w:t xml:space="preserve"> </w:t>
      </w:r>
      <w:r w:rsidRPr="00683075">
        <w:t>doplnkových dôchodkových fondoch mierne vzrástol. Tak ako</w:t>
      </w:r>
      <w:r w:rsidR="003E557A">
        <w:t xml:space="preserve"> v </w:t>
      </w:r>
      <w:r w:rsidRPr="00683075">
        <w:t>minulých rokoch rástol záujem</w:t>
      </w:r>
      <w:r w:rsidR="00BF0E04" w:rsidRPr="00683075">
        <w:t xml:space="preserve"> </w:t>
      </w:r>
      <w:r w:rsidRPr="00683075">
        <w:t>o sporenie prostredníctvom niektorého</w:t>
      </w:r>
      <w:r w:rsidR="003E557A">
        <w:t xml:space="preserve"> z </w:t>
      </w:r>
      <w:r w:rsidRPr="00683075">
        <w:t>menších príspevkových doplnkových dôchodkových fondov so</w:t>
      </w:r>
      <w:r w:rsidR="00BF0E04" w:rsidRPr="00683075">
        <w:t xml:space="preserve"> </w:t>
      </w:r>
      <w:r w:rsidRPr="00683075">
        <w:t>špecializovanou stratégiou. Portfólia doplnkových dôchodkových fondov neprešli</w:t>
      </w:r>
      <w:r w:rsidR="003E557A">
        <w:t xml:space="preserve"> v </w:t>
      </w:r>
      <w:r w:rsidRPr="00683075">
        <w:t>prvom polroku 2013</w:t>
      </w:r>
      <w:r w:rsidR="00BF0E04" w:rsidRPr="00683075">
        <w:t xml:space="preserve"> </w:t>
      </w:r>
      <w:r w:rsidRPr="00683075">
        <w:t>žiadnymi zásadnými zmenami.</w:t>
      </w:r>
      <w:r w:rsidR="003E557A">
        <w:t xml:space="preserve"> v </w:t>
      </w:r>
      <w:r w:rsidRPr="00683075">
        <w:t>štruktúre vyvážených</w:t>
      </w:r>
      <w:r w:rsidR="003E557A">
        <w:t xml:space="preserve"> a </w:t>
      </w:r>
      <w:r w:rsidRPr="00683075">
        <w:t>rastových doplnkových dôchodkových fondov</w:t>
      </w:r>
      <w:r w:rsidR="00BF0E04" w:rsidRPr="00683075">
        <w:t xml:space="preserve"> </w:t>
      </w:r>
      <w:r w:rsidRPr="00683075">
        <w:t>sa čiastočne zvýšil podiel dlhových cenných papierov.</w:t>
      </w:r>
    </w:p>
    <w:p w:rsidR="00EC7744" w:rsidRPr="00683075" w:rsidRDefault="00820B6E" w:rsidP="00683075">
      <w:r w:rsidRPr="00683075">
        <w:t>V oboch pilieroch dôchodkového sporenia sa priemerná medziročná výkonnosť na konci sledovaného</w:t>
      </w:r>
      <w:r w:rsidR="00BF0E04" w:rsidRPr="00683075">
        <w:t xml:space="preserve"> </w:t>
      </w:r>
      <w:r w:rsidRPr="00683075">
        <w:t>obdobia nachádzala</w:t>
      </w:r>
      <w:r w:rsidR="003E557A">
        <w:t xml:space="preserve"> v </w:t>
      </w:r>
      <w:r w:rsidRPr="00683075">
        <w:t>kladnom pásme, avšak toto nominálne zhodnotenie je najmä dôsledkom rastu</w:t>
      </w:r>
      <w:r w:rsidR="00BF0E04" w:rsidRPr="00683075">
        <w:t xml:space="preserve"> </w:t>
      </w:r>
      <w:r w:rsidRPr="00683075">
        <w:t>cien aktív ešte</w:t>
      </w:r>
      <w:r w:rsidR="003E557A">
        <w:t xml:space="preserve"> v </w:t>
      </w:r>
      <w:r w:rsidRPr="00683075">
        <w:t>druhej polovici roka 2012.</w:t>
      </w:r>
    </w:p>
    <w:p w:rsidR="00EC7744" w:rsidRPr="00683075" w:rsidRDefault="00820B6E" w:rsidP="00683075">
      <w:r w:rsidRPr="00683075">
        <w:t>Agregovaný zisk dôchodkových správcovských spoločností</w:t>
      </w:r>
      <w:r w:rsidR="003E557A">
        <w:t xml:space="preserve"> a v </w:t>
      </w:r>
      <w:r w:rsidRPr="00683075">
        <w:t>ešte väčšej miere doplnkových</w:t>
      </w:r>
      <w:r w:rsidR="00BF0E04" w:rsidRPr="00683075">
        <w:t xml:space="preserve"> </w:t>
      </w:r>
      <w:r w:rsidRPr="00683075">
        <w:t>dôchodkových spoločností sa podstatne zvýšil vďaka vyššiemu výnosu</w:t>
      </w:r>
      <w:r w:rsidR="003E557A">
        <w:t xml:space="preserve"> z </w:t>
      </w:r>
      <w:r w:rsidRPr="00683075">
        <w:t>odplát za zhodnotenie majetku</w:t>
      </w:r>
      <w:r w:rsidR="00BF0E04" w:rsidRPr="00683075">
        <w:t xml:space="preserve"> </w:t>
      </w:r>
      <w:r w:rsidRPr="00683075">
        <w:t>vo fondoch. Podrobná analýza je uvedená nižšie</w:t>
      </w:r>
      <w:r w:rsidR="003E557A">
        <w:t xml:space="preserve"> v </w:t>
      </w:r>
      <w:r w:rsidRPr="00683075">
        <w:t>tejto kapitole.</w:t>
      </w:r>
    </w:p>
    <w:p w:rsidR="00EC7744" w:rsidRPr="00683075" w:rsidRDefault="00820B6E" w:rsidP="0002424C">
      <w:pPr>
        <w:pStyle w:val="Nadpis3"/>
      </w:pPr>
      <w:bookmarkStart w:id="11" w:name="_Toc376206545"/>
      <w:r w:rsidRPr="00683075">
        <w:t>Starobné dôchodkové</w:t>
      </w:r>
      <w:r w:rsidR="00BF0E04" w:rsidRPr="00683075">
        <w:t xml:space="preserve"> </w:t>
      </w:r>
      <w:r w:rsidRPr="00683075">
        <w:t>sporenie</w:t>
      </w:r>
      <w:bookmarkEnd w:id="11"/>
    </w:p>
    <w:p w:rsidR="00EC7744" w:rsidRPr="00683075" w:rsidRDefault="00820B6E" w:rsidP="00D77337">
      <w:pPr>
        <w:pStyle w:val="zvyraznene"/>
      </w:pPr>
      <w:r w:rsidRPr="00683075">
        <w:t>V prvej polovici roka 2013 nadobudli účinnosť</w:t>
      </w:r>
      <w:r w:rsidR="00BF0E04" w:rsidRPr="00683075">
        <w:t xml:space="preserve"> </w:t>
      </w:r>
      <w:r w:rsidRPr="00683075">
        <w:t>viaceré významné ustanovenia</w:t>
      </w:r>
      <w:r w:rsidR="003E557A">
        <w:t xml:space="preserve"> z </w:t>
      </w:r>
      <w:r w:rsidRPr="00683075">
        <w:t>poslednej novely</w:t>
      </w:r>
      <w:r w:rsidR="00BF0E04" w:rsidRPr="00683075">
        <w:t xml:space="preserve"> </w:t>
      </w:r>
      <w:r w:rsidRPr="00683075">
        <w:t>zákona o starobnom dôchodkovom sporení</w:t>
      </w:r>
    </w:p>
    <w:p w:rsidR="00EC7744" w:rsidRPr="00683075" w:rsidRDefault="00820B6E" w:rsidP="00683075">
      <w:r w:rsidRPr="00683075">
        <w:t>V prvom polroku 2013 prešiel druhý pilier dôchodkového</w:t>
      </w:r>
      <w:r w:rsidR="00BF0E04" w:rsidRPr="00683075">
        <w:t xml:space="preserve"> </w:t>
      </w:r>
      <w:r w:rsidRPr="00683075">
        <w:t>sporenia pomerne výraznými</w:t>
      </w:r>
      <w:r w:rsidR="00BF0E04" w:rsidRPr="00683075">
        <w:t xml:space="preserve"> </w:t>
      </w:r>
      <w:r w:rsidRPr="00683075">
        <w:t>zmenami. Väčšina</w:t>
      </w:r>
      <w:r w:rsidR="003E557A">
        <w:t xml:space="preserve"> z </w:t>
      </w:r>
      <w:r w:rsidRPr="00683075">
        <w:t>nich bola ešte dôsledkom</w:t>
      </w:r>
      <w:r w:rsidR="00BF0E04" w:rsidRPr="00683075">
        <w:t xml:space="preserve"> </w:t>
      </w:r>
      <w:r w:rsidRPr="00683075">
        <w:t xml:space="preserve">novelizácie zákona o starobnom </w:t>
      </w:r>
      <w:r w:rsidRPr="00683075">
        <w:lastRenderedPageBreak/>
        <w:t>dôchodkovom</w:t>
      </w:r>
      <w:r w:rsidR="00BF0E04" w:rsidRPr="00683075">
        <w:t xml:space="preserve"> </w:t>
      </w:r>
      <w:r w:rsidRPr="00683075">
        <w:t>sporení</w:t>
      </w:r>
      <w:r w:rsidR="003E557A">
        <w:t xml:space="preserve"> z </w:t>
      </w:r>
      <w:r w:rsidRPr="00683075">
        <w:t>roku 2012 (ďalej iba zákon), keďže</w:t>
      </w:r>
      <w:r w:rsidR="00BF0E04" w:rsidRPr="00683075">
        <w:t xml:space="preserve"> </w:t>
      </w:r>
      <w:r w:rsidRPr="00683075">
        <w:t>viacero významných ustanovení vstúpilo do</w:t>
      </w:r>
      <w:r w:rsidR="00BF0E04" w:rsidRPr="00683075">
        <w:t xml:space="preserve"> </w:t>
      </w:r>
      <w:r w:rsidRPr="00683075">
        <w:t>účinnosti</w:t>
      </w:r>
      <w:r w:rsidR="003E557A">
        <w:t xml:space="preserve"> k </w:t>
      </w:r>
      <w:r w:rsidRPr="00683075">
        <w:t>1. 1. 2013, alebo až začiatkom mája.</w:t>
      </w:r>
      <w:r w:rsidR="003E557A">
        <w:t xml:space="preserve"> v </w:t>
      </w:r>
      <w:r w:rsidRPr="00683075">
        <w:t>priebehu prvej polovice roka 2013 už</w:t>
      </w:r>
      <w:r w:rsidR="003E557A">
        <w:t xml:space="preserve"> k </w:t>
      </w:r>
      <w:r w:rsidRPr="00683075">
        <w:t>žiadnym</w:t>
      </w:r>
      <w:r w:rsidR="00BF0E04" w:rsidRPr="00683075">
        <w:t xml:space="preserve"> </w:t>
      </w:r>
      <w:r w:rsidRPr="00683075">
        <w:t>novým legislatívnym úpravám nedošlo.</w:t>
      </w:r>
    </w:p>
    <w:p w:rsidR="00EC7744" w:rsidRPr="00683075" w:rsidRDefault="00820B6E" w:rsidP="00683075">
      <w:r w:rsidRPr="00683075">
        <w:t>Jedna</w:t>
      </w:r>
      <w:r w:rsidR="003E557A">
        <w:t xml:space="preserve"> z </w:t>
      </w:r>
      <w:r w:rsidRPr="00683075">
        <w:t>najzásadnejších zmien, ktoré začali platiť</w:t>
      </w:r>
      <w:r w:rsidR="003E557A">
        <w:t xml:space="preserve"> s </w:t>
      </w:r>
      <w:r w:rsidRPr="00683075">
        <w:t>príchodom roka 2013, sa týkala počtu</w:t>
      </w:r>
      <w:r w:rsidR="003E557A">
        <w:t xml:space="preserve"> a </w:t>
      </w:r>
      <w:r w:rsidRPr="00683075">
        <w:t>typov</w:t>
      </w:r>
      <w:r w:rsidR="00BF0E04" w:rsidRPr="00683075">
        <w:t xml:space="preserve"> </w:t>
      </w:r>
      <w:r w:rsidRPr="00683075">
        <w:t>dôchodkových fondov, ktoré musí dôchodková</w:t>
      </w:r>
      <w:r w:rsidR="00BF0E04" w:rsidRPr="00683075">
        <w:t xml:space="preserve"> </w:t>
      </w:r>
      <w:r w:rsidRPr="00683075">
        <w:t>správcovská spoločnosť povinne zo zákona vytvárať.</w:t>
      </w:r>
      <w:r w:rsidR="00BF0E04" w:rsidRPr="00683075">
        <w:t xml:space="preserve"> </w:t>
      </w:r>
      <w:r w:rsidRPr="00683075">
        <w:t>Kým</w:t>
      </w:r>
      <w:r w:rsidR="003E557A">
        <w:t xml:space="preserve"> v </w:t>
      </w:r>
      <w:r w:rsidRPr="00683075">
        <w:t>minulosti musel každý správca vytvoriť</w:t>
      </w:r>
      <w:r w:rsidR="003E557A">
        <w:t xml:space="preserve"> a </w:t>
      </w:r>
      <w:r w:rsidRPr="00683075">
        <w:t>následne spravovať práve tri, resp. neskôr</w:t>
      </w:r>
      <w:r w:rsidR="00BF0E04" w:rsidRPr="00683075">
        <w:t xml:space="preserve"> </w:t>
      </w:r>
      <w:r w:rsidRPr="00683075">
        <w:t>štyri dôchodkové fondy predpísaného zamerania</w:t>
      </w:r>
      <w:r w:rsidR="00BF0E04" w:rsidRPr="00683075">
        <w:t xml:space="preserve"> </w:t>
      </w:r>
      <w:r w:rsidRPr="00683075">
        <w:t>(dlhopisový, zmiešaný, akciový</w:t>
      </w:r>
      <w:r w:rsidR="003E557A">
        <w:t xml:space="preserve"> a </w:t>
      </w:r>
      <w:r w:rsidRPr="00683075">
        <w:t>indexový), po</w:t>
      </w:r>
      <w:r w:rsidR="00BF0E04" w:rsidRPr="00683075">
        <w:t xml:space="preserve"> </w:t>
      </w:r>
      <w:r w:rsidRPr="00683075">
        <w:t>novom sú povinné už iba dva dôchodkové fondy</w:t>
      </w:r>
      <w:r w:rsidR="00BF0E04" w:rsidRPr="00683075">
        <w:t xml:space="preserve"> </w:t>
      </w:r>
      <w:r w:rsidRPr="00683075">
        <w:t>– jeden dlhopisový garantovaný</w:t>
      </w:r>
      <w:r w:rsidR="003E557A">
        <w:t xml:space="preserve"> a </w:t>
      </w:r>
      <w:r w:rsidRPr="00683075">
        <w:t>jeden akciový</w:t>
      </w:r>
      <w:r w:rsidR="00BF0E04" w:rsidRPr="00683075">
        <w:t xml:space="preserve"> </w:t>
      </w:r>
      <w:r w:rsidRPr="00683075">
        <w:t>negarantovaný. Okrem toho však pribudla možnosť</w:t>
      </w:r>
      <w:r w:rsidR="00BF0E04" w:rsidRPr="00683075">
        <w:t xml:space="preserve"> </w:t>
      </w:r>
      <w:r w:rsidRPr="00683075">
        <w:t>ponúkať sporiteľom ľubovoľný počet ďalších</w:t>
      </w:r>
      <w:r w:rsidR="00BF0E04" w:rsidRPr="00683075">
        <w:t xml:space="preserve"> </w:t>
      </w:r>
      <w:r w:rsidRPr="00683075">
        <w:t>dôchodkových fondov, pričom dôchodková</w:t>
      </w:r>
      <w:r w:rsidR="00BF0E04" w:rsidRPr="00683075">
        <w:t xml:space="preserve"> </w:t>
      </w:r>
      <w:r w:rsidRPr="00683075">
        <w:t>správcovská spoločnosť sa môže rozhodnúť, či</w:t>
      </w:r>
      <w:r w:rsidR="00BF0E04" w:rsidRPr="00683075">
        <w:t xml:space="preserve"> </w:t>
      </w:r>
      <w:r w:rsidRPr="00683075">
        <w:t>budú tieto dôchodkové fondy garantované alebo</w:t>
      </w:r>
      <w:r w:rsidR="00BF0E04" w:rsidRPr="00683075">
        <w:t xml:space="preserve"> </w:t>
      </w:r>
      <w:r w:rsidRPr="00683075">
        <w:t>nie. Taktiež investičné zameranie týchto dôchodkových</w:t>
      </w:r>
      <w:r w:rsidR="00BF0E04" w:rsidRPr="00683075">
        <w:t xml:space="preserve"> </w:t>
      </w:r>
      <w:r w:rsidRPr="00683075">
        <w:t>fondov ostáva (v medziach zákona)</w:t>
      </w:r>
      <w:r w:rsidR="003E557A">
        <w:t xml:space="preserve"> v </w:t>
      </w:r>
      <w:r w:rsidRPr="00683075">
        <w:t>réžii dôchodkových správcovských spoločností.</w:t>
      </w:r>
      <w:r w:rsidR="003E557A">
        <w:t xml:space="preserve"> v </w:t>
      </w:r>
      <w:r w:rsidRPr="00683075">
        <w:t>nadväznosti na tieto úpravy novelizovaný</w:t>
      </w:r>
      <w:r w:rsidR="00BF0E04" w:rsidRPr="00683075">
        <w:t xml:space="preserve"> </w:t>
      </w:r>
      <w:r w:rsidRPr="00683075">
        <w:t>zákon tiež nariadil dôchodkovým správcovským</w:t>
      </w:r>
      <w:r w:rsidR="00BF0E04" w:rsidRPr="00683075">
        <w:t xml:space="preserve"> </w:t>
      </w:r>
      <w:r w:rsidRPr="00683075">
        <w:t>spoločnostiam previesť do začiatku mája 2013</w:t>
      </w:r>
      <w:r w:rsidR="00BF0E04" w:rsidRPr="00683075">
        <w:t xml:space="preserve"> </w:t>
      </w:r>
      <w:r w:rsidRPr="00683075">
        <w:t>majetok všetkých sporiteľov, ktorí sa výslovne</w:t>
      </w:r>
      <w:r w:rsidR="00BF0E04" w:rsidRPr="00683075">
        <w:t xml:space="preserve"> </w:t>
      </w:r>
      <w:r w:rsidRPr="00683075">
        <w:t>nevyjadrili inak, do dlhopisového garantovaného</w:t>
      </w:r>
      <w:r w:rsidR="00BF0E04" w:rsidRPr="00683075">
        <w:t xml:space="preserve"> </w:t>
      </w:r>
      <w:r w:rsidRPr="00683075">
        <w:t>dôchodkového fondu.</w:t>
      </w:r>
    </w:p>
    <w:p w:rsidR="00EC7744" w:rsidRPr="00683075" w:rsidRDefault="00820B6E" w:rsidP="00683075">
      <w:r w:rsidRPr="00683075">
        <w:t>Ďalším dôležitým aspektom novely zákona bola</w:t>
      </w:r>
      <w:r w:rsidR="00BF0E04" w:rsidRPr="00683075">
        <w:t xml:space="preserve"> </w:t>
      </w:r>
      <w:r w:rsidRPr="00683075">
        <w:t>zmena pravidiel pre vstup nových sporiteľov na</w:t>
      </w:r>
      <w:r w:rsidR="00BF0E04" w:rsidRPr="00683075">
        <w:t xml:space="preserve"> </w:t>
      </w:r>
      <w:r w:rsidRPr="00683075">
        <w:t>plne dobrovoľný režim pre všetkých ľudí, ktorých</w:t>
      </w:r>
      <w:r w:rsidR="00BF0E04" w:rsidRPr="00683075">
        <w:t xml:space="preserve"> </w:t>
      </w:r>
      <w:r w:rsidRPr="00683075">
        <w:t>vek nepresiahol 35 rokov. Počnúc prvým dňom</w:t>
      </w:r>
      <w:r w:rsidR="00BF0E04" w:rsidRPr="00683075">
        <w:t xml:space="preserve"> </w:t>
      </w:r>
      <w:r w:rsidRPr="00683075">
        <w:t>roka 2013 začali platiť</w:t>
      </w:r>
      <w:r w:rsidR="003E557A">
        <w:t xml:space="preserve"> v </w:t>
      </w:r>
      <w:r w:rsidRPr="00683075">
        <w:t>systéme aj niektoré nové</w:t>
      </w:r>
      <w:r w:rsidR="00BF0E04" w:rsidRPr="00683075">
        <w:t xml:space="preserve"> </w:t>
      </w:r>
      <w:r w:rsidRPr="00683075">
        <w:t>nastavenia technickejšieho charakteru, ako zmena</w:t>
      </w:r>
      <w:r w:rsidR="00BF0E04" w:rsidRPr="00683075">
        <w:t xml:space="preserve"> </w:t>
      </w:r>
      <w:r w:rsidRPr="00683075">
        <w:t>parametrov pre výpočet odplát dôchodkových</w:t>
      </w:r>
      <w:r w:rsidR="00BF0E04" w:rsidRPr="00683075">
        <w:t xml:space="preserve"> </w:t>
      </w:r>
      <w:r w:rsidRPr="00683075">
        <w:t>správcovských spoločností, či predĺženie</w:t>
      </w:r>
      <w:r w:rsidR="00BF0E04" w:rsidRPr="00683075">
        <w:t xml:space="preserve"> </w:t>
      </w:r>
      <w:r w:rsidRPr="00683075">
        <w:t>sledovaného obdobia na vyhodnocovanie garancií</w:t>
      </w:r>
      <w:r w:rsidR="003E557A">
        <w:t xml:space="preserve"> v </w:t>
      </w:r>
      <w:r w:rsidRPr="00683075">
        <w:t>dlhopisových dôchodkových fondoch na</w:t>
      </w:r>
      <w:r w:rsidR="00BF0E04" w:rsidRPr="00683075">
        <w:t xml:space="preserve"> </w:t>
      </w:r>
      <w:r w:rsidRPr="00683075">
        <w:t>10 rokov.</w:t>
      </w:r>
    </w:p>
    <w:p w:rsidR="00820B6E" w:rsidRPr="00683075" w:rsidRDefault="00820B6E" w:rsidP="00683075">
      <w:r w:rsidRPr="00683075">
        <w:t>Počas prvého polroka 2013 sa celkový počet</w:t>
      </w:r>
      <w:r w:rsidR="00BF0E04" w:rsidRPr="00683075">
        <w:t xml:space="preserve"> </w:t>
      </w:r>
      <w:r w:rsidRPr="00683075">
        <w:t>sporiteľov</w:t>
      </w:r>
      <w:r w:rsidR="003E557A">
        <w:t xml:space="preserve"> v </w:t>
      </w:r>
      <w:r w:rsidRPr="00683075">
        <w:t>systéme znížil o 30 534, čiže o niečo</w:t>
      </w:r>
      <w:r w:rsidR="00BF0E04" w:rsidRPr="00683075">
        <w:t xml:space="preserve"> </w:t>
      </w:r>
      <w:r w:rsidRPr="00683075">
        <w:t>viac ako 2 %. Pod úbytok sporiteľov sa primárne</w:t>
      </w:r>
      <w:r w:rsidR="00BF0E04" w:rsidRPr="00683075">
        <w:t xml:space="preserve"> </w:t>
      </w:r>
      <w:r w:rsidRPr="00683075">
        <w:t>podpísalo otvorenie druhého piliera dôchodkového</w:t>
      </w:r>
      <w:r w:rsidR="00BF0E04" w:rsidRPr="00683075">
        <w:t xml:space="preserve"> </w:t>
      </w:r>
      <w:r w:rsidRPr="00683075">
        <w:t>sporenia pre dobrovoľné vstupy</w:t>
      </w:r>
      <w:r w:rsidR="003E557A">
        <w:t xml:space="preserve"> a </w:t>
      </w:r>
      <w:r w:rsidRPr="00683075">
        <w:t>výstupy.</w:t>
      </w:r>
      <w:r w:rsidR="00BF0E04" w:rsidRPr="00683075">
        <w:t xml:space="preserve"> </w:t>
      </w:r>
      <w:r w:rsidRPr="00683075">
        <w:t>Celková bilancia pohybov počas celej periódy</w:t>
      </w:r>
      <w:r w:rsidR="00BF0E04" w:rsidRPr="00683075">
        <w:t xml:space="preserve"> </w:t>
      </w:r>
      <w:r w:rsidRPr="00683075">
        <w:t>otvorenia bola záporná,</w:t>
      </w:r>
      <w:r w:rsidR="003E557A">
        <w:t xml:space="preserve"> a </w:t>
      </w:r>
      <w:r w:rsidRPr="00683075">
        <w:t>to vo výške zhruba 75</w:t>
      </w:r>
      <w:r w:rsidR="00BF0E04" w:rsidRPr="00683075">
        <w:t xml:space="preserve"> </w:t>
      </w:r>
      <w:r w:rsidRPr="00683075">
        <w:t>tisíc. Pritom väčšia časť</w:t>
      </w:r>
      <w:r w:rsidR="003E557A">
        <w:t xml:space="preserve"> z </w:t>
      </w:r>
      <w:r w:rsidRPr="00683075">
        <w:t>tohto úbytku sa vzťahovala</w:t>
      </w:r>
      <w:r w:rsidR="00BF0E04" w:rsidRPr="00683075">
        <w:t xml:space="preserve"> </w:t>
      </w:r>
      <w:r w:rsidRPr="00683075">
        <w:t>na január 2013 ako posledný mesiac periódy</w:t>
      </w:r>
      <w:r w:rsidR="00BF0E04" w:rsidRPr="00683075">
        <w:t xml:space="preserve"> </w:t>
      </w:r>
      <w:r w:rsidRPr="00683075">
        <w:t>otvorenia,</w:t>
      </w:r>
      <w:r w:rsidR="003E557A">
        <w:t xml:space="preserve"> a </w:t>
      </w:r>
      <w:r w:rsidRPr="00683075">
        <w:t>teda spadala do aktuálneho sledovaného</w:t>
      </w:r>
      <w:r w:rsidR="00BF0E04" w:rsidRPr="00683075">
        <w:t xml:space="preserve"> </w:t>
      </w:r>
      <w:r w:rsidRPr="00683075">
        <w:t>obdobia.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Najvýznamnejšou legislatívne podmienenou zmenou</w:t>
      </w:r>
      <w:r w:rsidR="00BF0E04" w:rsidRPr="00683075">
        <w:t xml:space="preserve"> </w:t>
      </w:r>
      <w:r w:rsidRPr="00683075">
        <w:t>bol presun väčšiny sporiteľov do dlhopisových</w:t>
      </w:r>
      <w:r w:rsidR="00BF0E04" w:rsidRPr="00683075">
        <w:t xml:space="preserve"> </w:t>
      </w:r>
      <w:r w:rsidRPr="00683075">
        <w:t>garantovaných dôchodkových fondov</w:t>
      </w:r>
    </w:p>
    <w:p w:rsidR="00820B6E" w:rsidRPr="00683075" w:rsidRDefault="00820B6E" w:rsidP="00683075">
      <w:r w:rsidRPr="00683075">
        <w:t>Zásadnejšiu povahu ako mierny pokles celkového</w:t>
      </w:r>
      <w:r w:rsidR="00BF0E04" w:rsidRPr="00683075">
        <w:t xml:space="preserve"> </w:t>
      </w:r>
      <w:r w:rsidRPr="00683075">
        <w:t>počtu sporiteľov mal presun sporiteľov medzi</w:t>
      </w:r>
      <w:r w:rsidR="00BF0E04" w:rsidRPr="00683075">
        <w:t xml:space="preserve"> </w:t>
      </w:r>
      <w:r w:rsidRPr="00683075">
        <w:t>jednotlivými typmi dôchodkových fondov. Sporitelia</w:t>
      </w:r>
      <w:r w:rsidR="00BF0E04" w:rsidRPr="00683075">
        <w:t xml:space="preserve"> </w:t>
      </w:r>
      <w:r w:rsidRPr="00683075">
        <w:t>iných ako dlhopisových dôchodkových fondov,</w:t>
      </w:r>
      <w:r w:rsidR="00BF0E04" w:rsidRPr="00683075">
        <w:t xml:space="preserve"> </w:t>
      </w:r>
      <w:r w:rsidRPr="00683075">
        <w:t>ktorí neodovzdali do konca marca návratku,</w:t>
      </w:r>
      <w:r w:rsidR="003E557A">
        <w:t xml:space="preserve"> v </w:t>
      </w:r>
      <w:r w:rsidRPr="00683075">
        <w:t>ktorej výslovne vyjadrili svoj zámer zotrvať</w:t>
      </w:r>
      <w:r w:rsidR="003E557A">
        <w:t xml:space="preserve"> v </w:t>
      </w:r>
      <w:r w:rsidRPr="00683075">
        <w:t>týchto dôchodkových fondoch aj po tom, čo</w:t>
      </w:r>
      <w:r w:rsidR="00BF0E04" w:rsidRPr="00683075">
        <w:t xml:space="preserve"> </w:t>
      </w:r>
      <w:r w:rsidRPr="00683075">
        <w:t>už tieto stratili garanciu, museli byť od 1. 5. 2013</w:t>
      </w:r>
      <w:r w:rsidR="003E557A">
        <w:t xml:space="preserve"> v </w:t>
      </w:r>
      <w:r w:rsidRPr="00683075">
        <w:t>zmysle zákona presunutí do dlhopisového garantovaného</w:t>
      </w:r>
      <w:r w:rsidR="00BF0E04" w:rsidRPr="00683075">
        <w:t xml:space="preserve"> </w:t>
      </w:r>
      <w:r w:rsidRPr="00683075">
        <w:t>dôchodkového fondu. Zrejme aj</w:t>
      </w:r>
      <w:r w:rsidR="00BF0E04" w:rsidRPr="00683075">
        <w:t xml:space="preserve"> </w:t>
      </w:r>
      <w:r w:rsidRPr="00683075">
        <w:t>vzhľadom na pasivitu veľkej časti sporiteľov sa</w:t>
      </w:r>
      <w:r w:rsidR="00BF0E04" w:rsidRPr="00683075">
        <w:t xml:space="preserve"> </w:t>
      </w:r>
      <w:r w:rsidRPr="00683075">
        <w:t>teda od začiatku júna</w:t>
      </w:r>
      <w:r w:rsidR="003E557A">
        <w:t xml:space="preserve"> v </w:t>
      </w:r>
      <w:r w:rsidRPr="00683075">
        <w:t xml:space="preserve">dlhopisových </w:t>
      </w:r>
      <w:r w:rsidRPr="00683075">
        <w:lastRenderedPageBreak/>
        <w:t>dôchodkových</w:t>
      </w:r>
      <w:r w:rsidR="00BF0E04" w:rsidRPr="00683075">
        <w:t xml:space="preserve"> </w:t>
      </w:r>
      <w:r w:rsidRPr="00683075">
        <w:t>fondoch nazhromaždila väčšina sporiteľov.</w:t>
      </w:r>
      <w:r w:rsidR="00BF0E04" w:rsidRPr="00683075">
        <w:t xml:space="preserve"> </w:t>
      </w:r>
      <w:r w:rsidRPr="00683075">
        <w:t>Podľa údajov vykázaných</w:t>
      </w:r>
      <w:r w:rsidR="003E557A">
        <w:t xml:space="preserve"> k </w:t>
      </w:r>
      <w:r w:rsidRPr="00683075">
        <w:t>30. 6. 2013 siahal podiel</w:t>
      </w:r>
      <w:r w:rsidR="00BF0E04" w:rsidRPr="00683075">
        <w:t xml:space="preserve"> </w:t>
      </w:r>
      <w:r w:rsidRPr="00683075">
        <w:t>sporiteľov dlhopisových dôchodkových fondov</w:t>
      </w:r>
      <w:r w:rsidR="00BF0E04" w:rsidRPr="00683075">
        <w:t xml:space="preserve"> </w:t>
      </w:r>
      <w:r w:rsidRPr="00683075">
        <w:t>až</w:t>
      </w:r>
      <w:r w:rsidR="003E557A">
        <w:t xml:space="preserve"> k </w:t>
      </w:r>
      <w:r w:rsidRPr="00683075">
        <w:t>91 %, pričom na začiatku roka 2012 bola</w:t>
      </w:r>
      <w:r w:rsidR="00BF0E04" w:rsidRPr="00683075">
        <w:t xml:space="preserve"> </w:t>
      </w:r>
      <w:r w:rsidRPr="00683075">
        <w:t>zodpovedajúca hodnota iba 14 %.</w:t>
      </w:r>
      <w:r w:rsidR="003E557A">
        <w:t xml:space="preserve"> v </w:t>
      </w:r>
      <w:r w:rsidRPr="00683075">
        <w:t>akciových</w:t>
      </w:r>
      <w:r w:rsidR="00BF0E04" w:rsidRPr="00683075">
        <w:t xml:space="preserve"> </w:t>
      </w:r>
      <w:r w:rsidRPr="00683075">
        <w:t>dôchodkových fondoch, ktoré</w:t>
      </w:r>
      <w:r w:rsidR="003E557A">
        <w:t xml:space="preserve"> v </w:t>
      </w:r>
      <w:r w:rsidRPr="00683075">
        <w:t>celej histórii</w:t>
      </w:r>
      <w:r w:rsidR="00BF0E04" w:rsidRPr="00683075">
        <w:t xml:space="preserve"> </w:t>
      </w:r>
      <w:r w:rsidRPr="00683075">
        <w:t>fungovania systému</w:t>
      </w:r>
      <w:r w:rsidR="003E557A">
        <w:t xml:space="preserve"> v </w:t>
      </w:r>
      <w:r w:rsidRPr="00683075">
        <w:t>sektore dominovali, ostalo</w:t>
      </w:r>
      <w:r w:rsidR="00BF0E04" w:rsidRPr="00683075">
        <w:t xml:space="preserve"> </w:t>
      </w:r>
      <w:r w:rsidRPr="00683075">
        <w:t>po tejto zmene 7</w:t>
      </w:r>
      <w:r w:rsidR="003E557A">
        <w:t xml:space="preserve"> % </w:t>
      </w:r>
      <w:r w:rsidRPr="00683075">
        <w:t>sporiteľov. Zhruba štvrtinové</w:t>
      </w:r>
      <w:r w:rsidR="00BF0E04" w:rsidRPr="00683075">
        <w:t xml:space="preserve"> </w:t>
      </w:r>
      <w:r w:rsidRPr="00683075">
        <w:t>zastúpenie zmiešaných fondov sa prepadlo na</w:t>
      </w:r>
      <w:r w:rsidR="00BF0E04" w:rsidRPr="00683075">
        <w:t xml:space="preserve"> </w:t>
      </w:r>
      <w:r w:rsidRPr="00683075">
        <w:t>1,6 %. Počet sporiteľov indexových dôchodkových</w:t>
      </w:r>
      <w:r w:rsidR="00BF0E04" w:rsidRPr="00683075">
        <w:t xml:space="preserve"> </w:t>
      </w:r>
      <w:r w:rsidRPr="00683075">
        <w:t>fondov sa síce zvýšil, ale pri podiele 0,4</w:t>
      </w:r>
      <w:r w:rsidR="003E557A">
        <w:t xml:space="preserve"> % </w:t>
      </w:r>
      <w:r w:rsidRPr="00683075">
        <w:t>bol ich význam naďalej marginálny.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Začiatkom mája zlúčila jedna dôchodková správcovská</w:t>
      </w:r>
      <w:r w:rsidR="00BF0E04" w:rsidRPr="00683075">
        <w:t xml:space="preserve"> </w:t>
      </w:r>
      <w:r w:rsidRPr="00683075">
        <w:t>spoločnosť svoj zmiešaný</w:t>
      </w:r>
      <w:r w:rsidR="003E557A">
        <w:t xml:space="preserve"> a </w:t>
      </w:r>
      <w:r w:rsidRPr="00683075">
        <w:t>indexový dôchodkový</w:t>
      </w:r>
      <w:r w:rsidR="00BF0E04" w:rsidRPr="00683075">
        <w:t xml:space="preserve"> </w:t>
      </w:r>
      <w:r w:rsidRPr="00683075">
        <w:t>fond pod hlavičku akciového dôchodkového</w:t>
      </w:r>
      <w:r w:rsidR="00BF0E04" w:rsidRPr="00683075">
        <w:t xml:space="preserve"> </w:t>
      </w:r>
      <w:r w:rsidRPr="00683075">
        <w:t>fondu. Ostatné správcovské spoločnosti</w:t>
      </w:r>
      <w:r w:rsidR="00BF0E04" w:rsidRPr="00683075">
        <w:t xml:space="preserve"> </w:t>
      </w:r>
      <w:r w:rsidRPr="00683075">
        <w:t>aj po zmene pravidiel zatiaľ naďalej spravujú po</w:t>
      </w:r>
      <w:r w:rsidR="00BF0E04" w:rsidRPr="00683075">
        <w:t xml:space="preserve"> </w:t>
      </w:r>
      <w:r w:rsidRPr="00683075">
        <w:t>štyri dôchodkové fondy,</w:t>
      </w:r>
      <w:r w:rsidR="003E557A">
        <w:t xml:space="preserve"> z </w:t>
      </w:r>
      <w:r w:rsidRPr="00683075">
        <w:t>toho každá iba jeden</w:t>
      </w:r>
      <w:r w:rsidR="00BF0E04" w:rsidRPr="00683075">
        <w:t xml:space="preserve"> </w:t>
      </w:r>
      <w:r w:rsidRPr="00683075">
        <w:t>garantovaný.</w:t>
      </w:r>
    </w:p>
    <w:p w:rsidR="00820B6E" w:rsidRPr="00683075" w:rsidRDefault="00820B6E" w:rsidP="00683075">
      <w:r w:rsidRPr="00683075">
        <w:t>Prvýkrát od vzniku systému došlo</w:t>
      </w:r>
      <w:r w:rsidR="003E557A">
        <w:t xml:space="preserve"> k </w:t>
      </w:r>
      <w:r w:rsidRPr="00683075">
        <w:t>situácii, že</w:t>
      </w:r>
      <w:r w:rsidR="00BF0E04" w:rsidRPr="00683075">
        <w:t xml:space="preserve"> </w:t>
      </w:r>
      <w:r w:rsidRPr="00683075">
        <w:t>čistá hodnota spravovaného majetku (NAV)</w:t>
      </w:r>
      <w:r w:rsidR="003E557A">
        <w:t xml:space="preserve"> v </w:t>
      </w:r>
      <w:r w:rsidRPr="00683075">
        <w:t>sektore počas sledovaného obdobia poklesla.</w:t>
      </w:r>
      <w:r w:rsidR="003E557A">
        <w:t xml:space="preserve"> v </w:t>
      </w:r>
      <w:r w:rsidRPr="00683075">
        <w:t>absolútnej hodnote však išlo o pomerne nevýrazný</w:t>
      </w:r>
      <w:r w:rsidR="00BF0E04" w:rsidRPr="00683075">
        <w:t xml:space="preserve"> </w:t>
      </w:r>
      <w:r w:rsidRPr="00683075">
        <w:t>úbytok vo výške necelých 20 mil. €</w:t>
      </w:r>
      <w:r w:rsidR="003E557A">
        <w:t xml:space="preserve"> v </w:t>
      </w:r>
      <w:r w:rsidRPr="00683075">
        <w:t>porovnaní</w:t>
      </w:r>
      <w:r w:rsidR="00BF0E04" w:rsidRPr="00683075">
        <w:t xml:space="preserve"> </w:t>
      </w:r>
      <w:r w:rsidRPr="00683075">
        <w:t>so záverom roka 2012, čo predstavuje</w:t>
      </w:r>
      <w:r w:rsidR="003E557A">
        <w:t xml:space="preserve"> v </w:t>
      </w:r>
      <w:r w:rsidRPr="00683075">
        <w:t>percentuálnom vyjadrení 0,3 %. Táto zmena</w:t>
      </w:r>
      <w:r w:rsidR="00BF0E04" w:rsidRPr="00683075">
        <w:t xml:space="preserve"> </w:t>
      </w:r>
      <w:r w:rsidRPr="00683075">
        <w:t>oproti rastovému trendu</w:t>
      </w:r>
      <w:r w:rsidR="003E557A">
        <w:t xml:space="preserve"> z </w:t>
      </w:r>
      <w:r w:rsidRPr="00683075">
        <w:t>minulosti spočívala</w:t>
      </w:r>
      <w:r w:rsidR="003E557A">
        <w:t xml:space="preserve"> v </w:t>
      </w:r>
      <w:r w:rsidRPr="00683075">
        <w:t>dvoch faktoroch. Prvým je presun naakumulovaného</w:t>
      </w:r>
      <w:r w:rsidR="00BF0E04" w:rsidRPr="00683075">
        <w:t xml:space="preserve"> </w:t>
      </w:r>
      <w:r w:rsidRPr="00683075">
        <w:t>majetku odchádzajúcich sporiteľov</w:t>
      </w:r>
      <w:r w:rsidR="003E557A">
        <w:t xml:space="preserve"> v </w:t>
      </w:r>
      <w:r w:rsidRPr="00683075">
        <w:t>hodnote okolo 280 mil. € do Sociálnej poisťovne</w:t>
      </w:r>
      <w:r w:rsidR="00BF0E04" w:rsidRPr="00683075">
        <w:t xml:space="preserve"> </w:t>
      </w:r>
      <w:r w:rsidRPr="00683075">
        <w:t>na prelome januára</w:t>
      </w:r>
      <w:r w:rsidR="003E557A">
        <w:t xml:space="preserve"> a </w:t>
      </w:r>
      <w:r w:rsidRPr="00683075">
        <w:t>februára. Druhý faktor</w:t>
      </w:r>
      <w:r w:rsidR="00BF0E04" w:rsidRPr="00683075">
        <w:t xml:space="preserve"> </w:t>
      </w:r>
      <w:r w:rsidRPr="00683075">
        <w:t>bol pomalší priebežný prítok prostriedkov do</w:t>
      </w:r>
      <w:r w:rsidR="00BF0E04" w:rsidRPr="00683075">
        <w:t xml:space="preserve"> </w:t>
      </w:r>
      <w:r w:rsidRPr="00683075">
        <w:t>dôchodkových fondov</w:t>
      </w:r>
      <w:r w:rsidR="003E557A">
        <w:t xml:space="preserve"> z </w:t>
      </w:r>
      <w:r w:rsidRPr="00683075">
        <w:t>dôvodu zníženia povinných</w:t>
      </w:r>
      <w:r w:rsidR="00BF0E04" w:rsidRPr="00683075">
        <w:t xml:space="preserve"> </w:t>
      </w:r>
      <w:r w:rsidRPr="00683075">
        <w:t>odvodov do druhého piliera</w:t>
      </w:r>
      <w:r w:rsidR="003E557A">
        <w:t xml:space="preserve"> z </w:t>
      </w:r>
      <w:r w:rsidRPr="00683075">
        <w:t>9</w:t>
      </w:r>
      <w:r w:rsidR="003E557A">
        <w:t xml:space="preserve"> % </w:t>
      </w:r>
      <w:r w:rsidRPr="00683075">
        <w:t>na</w:t>
      </w:r>
      <w:r w:rsidR="00BF0E04" w:rsidRPr="00683075">
        <w:t xml:space="preserve"> </w:t>
      </w:r>
      <w:r w:rsidRPr="00683075">
        <w:t>4</w:t>
      </w:r>
      <w:r w:rsidR="003E557A">
        <w:t xml:space="preserve"> % </w:t>
      </w:r>
      <w:r w:rsidRPr="00683075">
        <w:t>vymeriavacieho základu. Nové príspevky</w:t>
      </w:r>
      <w:r w:rsidR="003E557A">
        <w:t xml:space="preserve"> v </w:t>
      </w:r>
      <w:r w:rsidRPr="00683075">
        <w:t>kombinácii</w:t>
      </w:r>
      <w:r w:rsidR="003E557A">
        <w:t xml:space="preserve"> s </w:t>
      </w:r>
      <w:r w:rsidRPr="00683075">
        <w:t>nevýraznou výkonnosťou dôchodkových</w:t>
      </w:r>
      <w:r w:rsidR="00BF0E04" w:rsidRPr="00683075">
        <w:t xml:space="preserve"> </w:t>
      </w:r>
      <w:r w:rsidRPr="00683075">
        <w:t>fondov tak</w:t>
      </w:r>
      <w:r w:rsidR="003E557A">
        <w:t xml:space="preserve"> v </w:t>
      </w:r>
      <w:r w:rsidRPr="00683075">
        <w:t>prvom polroku 2013</w:t>
      </w:r>
      <w:r w:rsidR="00BF0E04" w:rsidRPr="00683075">
        <w:t xml:space="preserve"> </w:t>
      </w:r>
      <w:r w:rsidRPr="00683075">
        <w:t>nestačili na vykompenzovanie uvedeného odlivu</w:t>
      </w:r>
      <w:r w:rsidR="00BF0E04" w:rsidRPr="00683075">
        <w:t xml:space="preserve"> </w:t>
      </w:r>
      <w:r w:rsidRPr="00683075">
        <w:t>prostriedkov.</w:t>
      </w:r>
      <w:r w:rsidR="003E557A">
        <w:t xml:space="preserve"> k </w:t>
      </w:r>
      <w:r w:rsidRPr="00683075">
        <w:t>30. 6. 2013 tak sektor spravoval</w:t>
      </w:r>
      <w:r w:rsidR="00BF0E04" w:rsidRPr="00683075">
        <w:t xml:space="preserve"> </w:t>
      </w:r>
      <w:r w:rsidRPr="00683075">
        <w:t>majetok</w:t>
      </w:r>
      <w:r w:rsidR="003E557A">
        <w:t xml:space="preserve"> v </w:t>
      </w:r>
      <w:r w:rsidRPr="00683075">
        <w:t>objeme 5,458 mld. €.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Presun väčšiny sporiteľov do dlhopisových garantovaných</w:t>
      </w:r>
      <w:r w:rsidR="00BF0E04" w:rsidRPr="00683075">
        <w:t xml:space="preserve"> </w:t>
      </w:r>
      <w:r w:rsidRPr="00683075">
        <w:t>dôchodkových fondov sa analogicky</w:t>
      </w:r>
      <w:r w:rsidR="00BF0E04" w:rsidRPr="00683075">
        <w:t xml:space="preserve"> </w:t>
      </w:r>
      <w:r w:rsidRPr="00683075">
        <w:t>odrazil aj na zmene distribúcie majetku medzi</w:t>
      </w:r>
      <w:r w:rsidR="00BF0E04" w:rsidRPr="00683075">
        <w:t xml:space="preserve"> </w:t>
      </w:r>
      <w:r w:rsidRPr="00683075">
        <w:t>jednotlivými typmi dôchodkových fondov. Na</w:t>
      </w:r>
      <w:r w:rsidR="00BF0E04" w:rsidRPr="00683075">
        <w:t xml:space="preserve"> </w:t>
      </w:r>
      <w:r w:rsidRPr="00683075">
        <w:t>konci júna 2013 sa až 90,6</w:t>
      </w:r>
      <w:r w:rsidR="003E557A">
        <w:t xml:space="preserve"> % z </w:t>
      </w:r>
      <w:r w:rsidRPr="00683075">
        <w:t>celkového majetku</w:t>
      </w:r>
      <w:r w:rsidR="003E557A">
        <w:t xml:space="preserve"> v </w:t>
      </w:r>
      <w:r w:rsidRPr="00683075">
        <w:t>systéme nachádzalo</w:t>
      </w:r>
      <w:r w:rsidR="003E557A">
        <w:t xml:space="preserve"> v </w:t>
      </w:r>
      <w:r w:rsidRPr="00683075">
        <w:t>dlhopisových dôchodkových</w:t>
      </w:r>
      <w:r w:rsidR="00BF0E04" w:rsidRPr="00683075">
        <w:t xml:space="preserve"> </w:t>
      </w:r>
      <w:r w:rsidRPr="00683075">
        <w:t>fondoch. Podiel akciových</w:t>
      </w:r>
      <w:r w:rsidR="003E557A">
        <w:t xml:space="preserve"> a </w:t>
      </w:r>
      <w:r w:rsidRPr="00683075">
        <w:t>zmiešaných</w:t>
      </w:r>
      <w:r w:rsidR="00BF0E04" w:rsidRPr="00683075">
        <w:t xml:space="preserve"> </w:t>
      </w:r>
      <w:r w:rsidRPr="00683075">
        <w:t>dôchodkových fondov sa znížil na 7,4 %,</w:t>
      </w:r>
      <w:r w:rsidR="00BF0E04" w:rsidRPr="00683075">
        <w:t xml:space="preserve"> </w:t>
      </w:r>
      <w:r w:rsidRPr="00683075">
        <w:t>resp. 1,6 %. Zvýšila sa váha indexových dôchodkových</w:t>
      </w:r>
      <w:r w:rsidR="00BF0E04" w:rsidRPr="00683075">
        <w:t xml:space="preserve"> </w:t>
      </w:r>
      <w:r w:rsidRPr="00683075">
        <w:t>fondov (0,4 %), ale celkovo ich význam</w:t>
      </w:r>
      <w:r w:rsidR="00BF0E04" w:rsidRPr="00683075">
        <w:t xml:space="preserve"> </w:t>
      </w:r>
      <w:r w:rsidRPr="00683075">
        <w:t>ostal prakticky zanedbateľný.</w:t>
      </w:r>
    </w:p>
    <w:p w:rsidR="00EC7744" w:rsidRPr="00683075" w:rsidRDefault="00820B6E" w:rsidP="00D77337">
      <w:pPr>
        <w:pStyle w:val="zvyraznene"/>
      </w:pPr>
      <w:r w:rsidRPr="00683075">
        <w:t>Po dlhom období nastala výrazná diferenciácia</w:t>
      </w:r>
      <w:r w:rsidR="003E557A">
        <w:t xml:space="preserve"> v </w:t>
      </w:r>
      <w:r w:rsidRPr="00683075">
        <w:t>štruktúre majetku dôchodkových fondov podľa</w:t>
      </w:r>
      <w:r w:rsidR="00BF0E04" w:rsidRPr="00683075">
        <w:t xml:space="preserve"> </w:t>
      </w:r>
      <w:r w:rsidRPr="00683075">
        <w:t>ich typu</w:t>
      </w:r>
    </w:p>
    <w:p w:rsidR="00820B6E" w:rsidRPr="00683075" w:rsidRDefault="00820B6E" w:rsidP="00683075">
      <w:r w:rsidRPr="00683075">
        <w:t>Súčasne</w:t>
      </w:r>
      <w:r w:rsidR="003E557A">
        <w:t xml:space="preserve"> s </w:t>
      </w:r>
      <w:r w:rsidRPr="00683075">
        <w:t>presúvaním majetku</w:t>
      </w:r>
      <w:r w:rsidR="003E557A">
        <w:t xml:space="preserve"> z </w:t>
      </w:r>
      <w:r w:rsidRPr="00683075">
        <w:t>akciových</w:t>
      </w:r>
      <w:r w:rsidR="003E557A">
        <w:t xml:space="preserve"> a </w:t>
      </w:r>
      <w:r w:rsidRPr="00683075">
        <w:t>zmiešaných dôchodkových fondov do dlhopisových</w:t>
      </w:r>
      <w:r w:rsidR="00BF0E04" w:rsidRPr="00683075">
        <w:t xml:space="preserve"> </w:t>
      </w:r>
      <w:r w:rsidRPr="00683075">
        <w:t>dôchodkových fondov došlo pri prvých</w:t>
      </w:r>
      <w:r w:rsidR="00BF0E04" w:rsidRPr="00683075">
        <w:t xml:space="preserve"> </w:t>
      </w:r>
      <w:r w:rsidRPr="00683075">
        <w:t>dvoch uvedených typoch aj</w:t>
      </w:r>
      <w:r w:rsidR="003E557A">
        <w:t xml:space="preserve"> k </w:t>
      </w:r>
      <w:r w:rsidRPr="00683075">
        <w:t>skokovej zmene</w:t>
      </w:r>
      <w:r w:rsidR="00BF0E04" w:rsidRPr="00683075">
        <w:t xml:space="preserve"> </w:t>
      </w:r>
      <w:r w:rsidRPr="00683075">
        <w:t>nastavenia portfólia</w:t>
      </w:r>
      <w:r w:rsidR="003E557A">
        <w:t xml:space="preserve"> z </w:t>
      </w:r>
      <w:r w:rsidRPr="00683075">
        <w:t>pohľadu rozdelenia majetku</w:t>
      </w:r>
      <w:r w:rsidR="00BF0E04" w:rsidRPr="00683075">
        <w:t xml:space="preserve"> </w:t>
      </w:r>
      <w:r w:rsidRPr="00683075">
        <w:t xml:space="preserve">do základných tried aktív. Po rokoch </w:t>
      </w:r>
      <w:proofErr w:type="spellStart"/>
      <w:r w:rsidRPr="00683075">
        <w:t>de-facto</w:t>
      </w:r>
      <w:proofErr w:type="spellEnd"/>
      <w:r w:rsidR="00BF0E04" w:rsidRPr="00683075">
        <w:t xml:space="preserve"> </w:t>
      </w:r>
      <w:r w:rsidRPr="00683075">
        <w:t>uniformného konzervatívneho zloženia portfólií</w:t>
      </w:r>
      <w:r w:rsidR="00BF0E04" w:rsidRPr="00683075">
        <w:t xml:space="preserve"> </w:t>
      </w:r>
      <w:r w:rsidRPr="00683075">
        <w:t>naprieč typmi sa situácia zmenila</w:t>
      </w:r>
      <w:r w:rsidR="003E557A">
        <w:t xml:space="preserve"> a </w:t>
      </w:r>
      <w:r w:rsidRPr="00683075">
        <w:t>skutočná</w:t>
      </w:r>
      <w:r w:rsidR="00BF0E04" w:rsidRPr="00683075">
        <w:t xml:space="preserve"> </w:t>
      </w:r>
      <w:r w:rsidRPr="00683075">
        <w:t>investičná stratégia akciových</w:t>
      </w:r>
      <w:r w:rsidR="003E557A">
        <w:t xml:space="preserve"> a </w:t>
      </w:r>
      <w:r w:rsidRPr="00683075">
        <w:t>zmiešaných dôchodkových</w:t>
      </w:r>
      <w:r w:rsidR="00BF0E04" w:rsidRPr="00683075">
        <w:t xml:space="preserve"> </w:t>
      </w:r>
      <w:r w:rsidRPr="00683075">
        <w:t>fondov sa do veľkej miery zosúladila</w:t>
      </w:r>
      <w:r w:rsidR="00BF0E04" w:rsidRPr="00683075">
        <w:t xml:space="preserve"> </w:t>
      </w:r>
      <w:r w:rsidRPr="00683075">
        <w:t>so stratégiou vyplývajúcou zo samotného názvu</w:t>
      </w:r>
      <w:r w:rsidR="00BF0E04" w:rsidRPr="00683075">
        <w:t xml:space="preserve"> </w:t>
      </w:r>
      <w:r w:rsidRPr="00683075">
        <w:t>týchto fondov.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V prvom rade sa to prejavilo na výraznom náraste</w:t>
      </w:r>
      <w:r w:rsidR="00BF0E04" w:rsidRPr="00683075">
        <w:t xml:space="preserve"> </w:t>
      </w:r>
      <w:r w:rsidRPr="00683075">
        <w:t xml:space="preserve">podielu </w:t>
      </w:r>
      <w:r w:rsidRPr="00683075">
        <w:lastRenderedPageBreak/>
        <w:t>akcií</w:t>
      </w:r>
      <w:r w:rsidR="003E557A">
        <w:t xml:space="preserve"> a </w:t>
      </w:r>
      <w:r w:rsidRPr="00683075">
        <w:t>podielových listov ku koncu</w:t>
      </w:r>
      <w:r w:rsidR="00BF0E04" w:rsidRPr="00683075">
        <w:t xml:space="preserve"> </w:t>
      </w:r>
      <w:r w:rsidRPr="00683075">
        <w:t>sledovaného obdobia</w:t>
      </w:r>
      <w:r w:rsidR="003E557A">
        <w:t xml:space="preserve"> v </w:t>
      </w:r>
      <w:r w:rsidRPr="00683075">
        <w:t>priemere na 44</w:t>
      </w:r>
      <w:r w:rsidR="003E557A">
        <w:t xml:space="preserve"> % </w:t>
      </w:r>
      <w:r w:rsidRPr="00683075">
        <w:t>pri</w:t>
      </w:r>
      <w:r w:rsidR="00BF0E04" w:rsidRPr="00683075">
        <w:t xml:space="preserve"> </w:t>
      </w:r>
      <w:r w:rsidRPr="00683075">
        <w:t>akciových</w:t>
      </w:r>
      <w:r w:rsidR="003E557A">
        <w:t xml:space="preserve"> a </w:t>
      </w:r>
      <w:r w:rsidRPr="00683075">
        <w:t>25</w:t>
      </w:r>
      <w:r w:rsidR="003E557A">
        <w:t xml:space="preserve"> % </w:t>
      </w:r>
      <w:r w:rsidRPr="00683075">
        <w:t>pri zmiešaných dôchodkových</w:t>
      </w:r>
      <w:r w:rsidR="00BF0E04" w:rsidRPr="00683075">
        <w:t xml:space="preserve"> </w:t>
      </w:r>
      <w:r w:rsidRPr="00683075">
        <w:t>fondoch. Profilovanie akciových</w:t>
      </w:r>
      <w:r w:rsidR="003E557A">
        <w:t xml:space="preserve"> a </w:t>
      </w:r>
      <w:r w:rsidRPr="00683075">
        <w:t>zmiešaných</w:t>
      </w:r>
      <w:r w:rsidR="00BF0E04" w:rsidRPr="00683075">
        <w:t xml:space="preserve"> </w:t>
      </w:r>
      <w:r w:rsidRPr="00683075">
        <w:t>fondov sa však neodohralo naprieč celým sektorom.</w:t>
      </w:r>
      <w:r w:rsidR="00BF0E04" w:rsidRPr="00683075">
        <w:t xml:space="preserve"> </w:t>
      </w:r>
      <w:r w:rsidRPr="00683075">
        <w:t>Dve dôchodkové správcovské spoločnosti</w:t>
      </w:r>
      <w:r w:rsidR="00BF0E04" w:rsidRPr="00683075">
        <w:t xml:space="preserve"> </w:t>
      </w:r>
      <w:r w:rsidRPr="00683075">
        <w:t>udržovali naďalej</w:t>
      </w:r>
      <w:r w:rsidR="003E557A">
        <w:t xml:space="preserve"> v </w:t>
      </w:r>
      <w:r w:rsidRPr="00683075">
        <w:t>týchto dôchodkových fondoch</w:t>
      </w:r>
      <w:r w:rsidR="00BF0E04" w:rsidRPr="00683075">
        <w:t xml:space="preserve"> </w:t>
      </w:r>
      <w:r w:rsidRPr="00683075">
        <w:t>nulové, alebo iba zanedbateľné zastúpenie</w:t>
      </w:r>
      <w:r w:rsidR="00BF0E04" w:rsidRPr="00683075">
        <w:t xml:space="preserve"> </w:t>
      </w:r>
      <w:r w:rsidRPr="00683075">
        <w:t>akcií</w:t>
      </w:r>
      <w:r w:rsidR="003E557A">
        <w:t xml:space="preserve"> a </w:t>
      </w:r>
      <w:r w:rsidRPr="00683075">
        <w:t>podielových listov. Vo zvyšku sektora sa</w:t>
      </w:r>
      <w:r w:rsidR="00BF0E04" w:rsidRPr="00683075">
        <w:t xml:space="preserve"> </w:t>
      </w:r>
      <w:r w:rsidRPr="00683075">
        <w:t>podiel týchto investícií pri individuálnych (akciových</w:t>
      </w:r>
      <w:r w:rsidR="003E557A">
        <w:t xml:space="preserve"> a </w:t>
      </w:r>
      <w:r w:rsidRPr="00683075">
        <w:t>zmiešaných) dôchodkových fondoch</w:t>
      </w:r>
      <w:r w:rsidR="00BF0E04" w:rsidRPr="00683075">
        <w:t xml:space="preserve"> </w:t>
      </w:r>
      <w:r w:rsidRPr="00683075">
        <w:t>pohyboval od 23</w:t>
      </w:r>
      <w:r w:rsidR="003E557A">
        <w:t xml:space="preserve"> % </w:t>
      </w:r>
      <w:r w:rsidRPr="00683075">
        <w:t>do 78</w:t>
      </w:r>
      <w:r w:rsidR="003E557A">
        <w:t xml:space="preserve"> % </w:t>
      </w:r>
      <w:r w:rsidRPr="00683075">
        <w:t>ich NAV. Všetky podielové</w:t>
      </w:r>
      <w:r w:rsidR="00BF0E04" w:rsidRPr="00683075">
        <w:t xml:space="preserve"> </w:t>
      </w:r>
      <w:r w:rsidRPr="00683075">
        <w:t>listy nakúpené do dôchodkových fondov</w:t>
      </w:r>
      <w:r w:rsidR="00BF0E04" w:rsidRPr="00683075">
        <w:t xml:space="preserve"> </w:t>
      </w:r>
      <w:r w:rsidRPr="00683075">
        <w:t>boli účasťami</w:t>
      </w:r>
      <w:r w:rsidR="003E557A">
        <w:t xml:space="preserve"> v </w:t>
      </w:r>
      <w:r w:rsidRPr="00683075">
        <w:t>zahraničných fondoch typu ETF2.</w:t>
      </w:r>
      <w:r w:rsidR="00BF0E04" w:rsidRPr="00683075">
        <w:t xml:space="preserve"> </w:t>
      </w:r>
      <w:r w:rsidRPr="00683075">
        <w:t>Väčšina</w:t>
      </w:r>
      <w:r w:rsidR="003E557A">
        <w:t xml:space="preserve"> z </w:t>
      </w:r>
      <w:r w:rsidRPr="00683075">
        <w:t>nich, či už na úrovni sektora, ale aj jednotlivých</w:t>
      </w:r>
      <w:r w:rsidR="00BF0E04" w:rsidRPr="00683075">
        <w:t xml:space="preserve"> </w:t>
      </w:r>
      <w:r w:rsidRPr="00683075">
        <w:t>dôchodkových fondov, bola zameraná</w:t>
      </w:r>
      <w:r w:rsidR="00BF0E04" w:rsidRPr="00683075">
        <w:t xml:space="preserve"> </w:t>
      </w:r>
      <w:r w:rsidRPr="00683075">
        <w:t>na kopírovanie výnosu významných akciových</w:t>
      </w:r>
      <w:r w:rsidR="00BF0E04" w:rsidRPr="00683075">
        <w:t xml:space="preserve"> </w:t>
      </w:r>
      <w:r w:rsidRPr="00683075">
        <w:t>indexov.</w:t>
      </w:r>
      <w:r w:rsidR="003E557A">
        <w:t xml:space="preserve"> v </w:t>
      </w:r>
      <w:r w:rsidRPr="00683075">
        <w:t>niektorých dôchodkových fondoch</w:t>
      </w:r>
      <w:r w:rsidR="00BF0E04" w:rsidRPr="00683075">
        <w:t xml:space="preserve"> </w:t>
      </w:r>
      <w:r w:rsidRPr="00683075">
        <w:t>mali investície do ETF aj sčasti dlhopisový charakter.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Iba</w:t>
      </w:r>
      <w:r w:rsidR="003E557A">
        <w:t xml:space="preserve"> v </w:t>
      </w:r>
      <w:r w:rsidRPr="00683075">
        <w:t>prípade jedného dôchodkového fondu bol</w:t>
      </w:r>
      <w:r w:rsidR="00BF0E04" w:rsidRPr="00683075">
        <w:t xml:space="preserve"> </w:t>
      </w:r>
      <w:r w:rsidRPr="00683075">
        <w:t>zvolený aktívny prístup</w:t>
      </w:r>
      <w:r w:rsidR="003E557A">
        <w:t xml:space="preserve"> k </w:t>
      </w:r>
      <w:r w:rsidRPr="00683075">
        <w:t>dosiahnutiu vystavenia</w:t>
      </w:r>
      <w:r w:rsidR="00BF0E04" w:rsidRPr="00683075">
        <w:t xml:space="preserve"> </w:t>
      </w:r>
      <w:r w:rsidRPr="00683075">
        <w:t>voči akciovým trhom prostredníctvom výberu</w:t>
      </w:r>
      <w:r w:rsidR="003E557A">
        <w:t xml:space="preserve"> a </w:t>
      </w:r>
      <w:r w:rsidRPr="00683075">
        <w:t>nákupu individuálnych akciových titulov.</w:t>
      </w:r>
      <w:r w:rsidR="003E557A">
        <w:t xml:space="preserve"> v </w:t>
      </w:r>
      <w:r w:rsidRPr="00683075">
        <w:t>ostatných dôchodkových fondoch boli za týmto</w:t>
      </w:r>
      <w:r w:rsidR="00BF0E04" w:rsidRPr="00683075">
        <w:t xml:space="preserve"> </w:t>
      </w:r>
      <w:r w:rsidRPr="00683075">
        <w:t>účelom využívané prakticky výlučne pasívne</w:t>
      </w:r>
      <w:r w:rsidR="00BF0E04" w:rsidRPr="00683075">
        <w:t xml:space="preserve"> </w:t>
      </w:r>
      <w:r w:rsidRPr="00683075">
        <w:t>stratégie pomocou spomínaných investícií do</w:t>
      </w:r>
      <w:r w:rsidR="00BF0E04" w:rsidRPr="00683075">
        <w:t xml:space="preserve"> </w:t>
      </w:r>
      <w:r w:rsidRPr="00683075">
        <w:t>ETF nástrojov.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Zákonitým dôsledkom nasmerovania výraznej</w:t>
      </w:r>
      <w:r w:rsidR="00BF0E04" w:rsidRPr="00683075">
        <w:t xml:space="preserve"> </w:t>
      </w:r>
      <w:r w:rsidRPr="00683075">
        <w:t>časti majetku akciových</w:t>
      </w:r>
      <w:r w:rsidR="003E557A">
        <w:t xml:space="preserve"> a </w:t>
      </w:r>
      <w:r w:rsidRPr="00683075">
        <w:t>zmiešaných dôchodkových</w:t>
      </w:r>
      <w:r w:rsidR="00BF0E04" w:rsidRPr="00683075">
        <w:t xml:space="preserve"> </w:t>
      </w:r>
      <w:r w:rsidRPr="00683075">
        <w:t>fondov do akcií</w:t>
      </w:r>
      <w:r w:rsidR="003E557A">
        <w:t xml:space="preserve"> a </w:t>
      </w:r>
      <w:r w:rsidRPr="00683075">
        <w:t>podielových listov bolo</w:t>
      </w:r>
      <w:r w:rsidR="00BF0E04" w:rsidRPr="00683075">
        <w:t xml:space="preserve"> </w:t>
      </w:r>
      <w:r w:rsidRPr="00683075">
        <w:t>zníženie váhy ďalších dvoch hlavných zložiek</w:t>
      </w:r>
      <w:r w:rsidR="00BF0E04" w:rsidRPr="00683075">
        <w:t xml:space="preserve"> </w:t>
      </w:r>
      <w:r w:rsidRPr="00683075">
        <w:t>portfólií – dlhových cenných papierov</w:t>
      </w:r>
      <w:r w:rsidR="003E557A">
        <w:t xml:space="preserve"> a </w:t>
      </w:r>
      <w:r w:rsidRPr="00683075">
        <w:t>vkladov</w:t>
      </w:r>
      <w:r w:rsidR="00BF0E04" w:rsidRPr="00683075">
        <w:t xml:space="preserve"> </w:t>
      </w:r>
      <w:r w:rsidRPr="00683075">
        <w:t>na účtoch</w:t>
      </w:r>
      <w:r w:rsidR="003E557A">
        <w:t xml:space="preserve"> v </w:t>
      </w:r>
      <w:r w:rsidRPr="00683075">
        <w:t>bankách. Priemerné zastúpenie dlhopisov</w:t>
      </w:r>
      <w:r w:rsidR="003E557A">
        <w:t xml:space="preserve"> v </w:t>
      </w:r>
      <w:r w:rsidRPr="00683075">
        <w:t>akciových dôchodkových fondoch</w:t>
      </w:r>
      <w:r w:rsidR="00BF0E04" w:rsidRPr="00683075">
        <w:t xml:space="preserve"> </w:t>
      </w:r>
      <w:r w:rsidRPr="00683075">
        <w:t>pokleslo zo 62</w:t>
      </w:r>
      <w:r w:rsidR="003E557A">
        <w:t xml:space="preserve"> % v </w:t>
      </w:r>
      <w:r w:rsidRPr="00683075">
        <w:t>úvode sledovaného obdobia</w:t>
      </w:r>
      <w:r w:rsidR="00BF0E04" w:rsidRPr="00683075">
        <w:t xml:space="preserve"> </w:t>
      </w:r>
      <w:r w:rsidRPr="00683075">
        <w:t>na 49</w:t>
      </w:r>
      <w:r w:rsidR="003E557A">
        <w:t xml:space="preserve"> % k </w:t>
      </w:r>
      <w:r w:rsidRPr="00683075">
        <w:t>30. 6. 2013.</w:t>
      </w:r>
      <w:r w:rsidR="003E557A">
        <w:t xml:space="preserve"> v </w:t>
      </w:r>
      <w:r w:rsidRPr="00683075">
        <w:t>prípade bankových vkladov</w:t>
      </w:r>
      <w:r w:rsidR="00BF0E04" w:rsidRPr="00683075">
        <w:t xml:space="preserve"> </w:t>
      </w:r>
      <w:r w:rsidRPr="00683075">
        <w:t>bola negatívna zmena ešte výraznejšia, keď</w:t>
      </w:r>
      <w:r w:rsidR="00BF0E04" w:rsidRPr="00683075">
        <w:t xml:space="preserve"> </w:t>
      </w:r>
      <w:r w:rsidRPr="00683075">
        <w:t>ich podiel na konci júna 2013 dosahoval 10 %,</w:t>
      </w:r>
      <w:r w:rsidR="00BF0E04" w:rsidRPr="00683075">
        <w:t xml:space="preserve"> </w:t>
      </w:r>
      <w:r w:rsidRPr="00683075">
        <w:t>teda o 14 p. b. menej ako na začiatku roka 2013.</w:t>
      </w:r>
      <w:r w:rsidR="00BF0E04" w:rsidRPr="00683075">
        <w:t xml:space="preserve"> </w:t>
      </w:r>
      <w:r w:rsidRPr="00683075">
        <w:t>Podobný vývoj, čo sa týka dlhopisov</w:t>
      </w:r>
      <w:r w:rsidR="003E557A">
        <w:t xml:space="preserve"> a </w:t>
      </w:r>
      <w:r w:rsidRPr="00683075">
        <w:t>vkladov</w:t>
      </w:r>
      <w:r w:rsidR="003E557A">
        <w:t xml:space="preserve"> v </w:t>
      </w:r>
      <w:r w:rsidRPr="00683075">
        <w:t>bankách, bol zaznamenaný aj pri zmiešaných</w:t>
      </w:r>
      <w:r w:rsidR="00BF0E04" w:rsidRPr="00683075">
        <w:t xml:space="preserve"> </w:t>
      </w:r>
      <w:r w:rsidRPr="00683075">
        <w:t>dôchodkových fondoch, len miera poklesu ich</w:t>
      </w:r>
      <w:r w:rsidR="00BF0E04" w:rsidRPr="00683075">
        <w:t xml:space="preserve"> </w:t>
      </w:r>
      <w:r w:rsidRPr="00683075">
        <w:t>zastúpenia bola pri oboch zložkách menšia ako</w:t>
      </w:r>
      <w:r w:rsidR="00BF0E04" w:rsidRPr="00683075">
        <w:t xml:space="preserve"> </w:t>
      </w:r>
      <w:r w:rsidRPr="00683075">
        <w:t>pri akciových dôchodkových fondoch.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Aj dlhopisové dôchodkové fondy, ktoré sa po</w:t>
      </w:r>
      <w:r w:rsidR="00BF0E04" w:rsidRPr="00683075">
        <w:t xml:space="preserve"> </w:t>
      </w:r>
      <w:r w:rsidRPr="00683075">
        <w:t>1. máji 2013 stali ťažiskom sektora, zaznamenali</w:t>
      </w:r>
      <w:r w:rsidR="00BF0E04" w:rsidRPr="00683075">
        <w:t xml:space="preserve"> </w:t>
      </w:r>
      <w:r w:rsidRPr="00683075">
        <w:t>čiastočné zmeny</w:t>
      </w:r>
      <w:r w:rsidR="003E557A">
        <w:t xml:space="preserve"> z </w:t>
      </w:r>
      <w:r w:rsidRPr="00683075">
        <w:t>pohľadu zloženia majetku.</w:t>
      </w:r>
      <w:r w:rsidR="00BF0E04" w:rsidRPr="00683075">
        <w:t xml:space="preserve"> </w:t>
      </w:r>
      <w:r w:rsidRPr="00683075">
        <w:t>Význam dlhových cenných papierov pre tieto</w:t>
      </w:r>
      <w:r w:rsidR="00BF0E04" w:rsidRPr="00683075">
        <w:t xml:space="preserve"> </w:t>
      </w:r>
      <w:r w:rsidRPr="00683075">
        <w:t>dôchodkové fondy sa ešte mierne prehĺbil</w:t>
      </w:r>
      <w:r w:rsidR="003E557A">
        <w:t xml:space="preserve"> a k </w:t>
      </w:r>
      <w:r w:rsidRPr="00683075">
        <w:t>30. 6. 2013 predstavovali zhruba tri štvrtiny</w:t>
      </w:r>
      <w:r w:rsidR="00BF0E04" w:rsidRPr="00683075">
        <w:t xml:space="preserve"> </w:t>
      </w:r>
      <w:r w:rsidRPr="00683075">
        <w:t>celkového majetku.</w:t>
      </w:r>
      <w:r w:rsidR="003E557A">
        <w:t xml:space="preserve"> v </w:t>
      </w:r>
      <w:r w:rsidRPr="00683075">
        <w:t>prípade troch dlhopisových</w:t>
      </w:r>
      <w:r w:rsidR="00BF0E04" w:rsidRPr="00683075">
        <w:t xml:space="preserve"> </w:t>
      </w:r>
      <w:r w:rsidRPr="00683075">
        <w:t>dôchodkových fondov ešte podiel dlhopisovej</w:t>
      </w:r>
      <w:r w:rsidR="00BF0E04" w:rsidRPr="00683075">
        <w:t xml:space="preserve"> </w:t>
      </w:r>
      <w:r w:rsidRPr="00683075">
        <w:t>zložky nepriamo zvyšovali investície do</w:t>
      </w:r>
      <w:r w:rsidR="00BF0E04" w:rsidRPr="00683075">
        <w:t xml:space="preserve"> </w:t>
      </w:r>
      <w:r w:rsidRPr="00683075">
        <w:t>podielových listov typu ETF so zameraním na</w:t>
      </w:r>
      <w:r w:rsidR="00BF0E04" w:rsidRPr="00683075">
        <w:t xml:space="preserve"> </w:t>
      </w:r>
      <w:r w:rsidRPr="00683075">
        <w:t>dlhopisové trhy, čo možno označiť ako nový fenomén</w:t>
      </w:r>
      <w:r w:rsidR="003E557A">
        <w:t xml:space="preserve"> v </w:t>
      </w:r>
      <w:r w:rsidRPr="00683075">
        <w:t>sektore. Zvýšená orientácia na dlhové</w:t>
      </w:r>
      <w:r w:rsidR="00BF0E04" w:rsidRPr="00683075">
        <w:t xml:space="preserve"> </w:t>
      </w:r>
      <w:r w:rsidRPr="00683075">
        <w:t>cenné papiere bola financovaná znižovaním zostatkov</w:t>
      </w:r>
      <w:r w:rsidR="00BF0E04" w:rsidRPr="00683075">
        <w:t xml:space="preserve"> </w:t>
      </w:r>
      <w:r w:rsidRPr="00683075">
        <w:t>na účtoch</w:t>
      </w:r>
      <w:r w:rsidR="003E557A">
        <w:t xml:space="preserve"> v </w:t>
      </w:r>
      <w:r w:rsidRPr="00683075">
        <w:t>bankách.</w:t>
      </w:r>
    </w:p>
    <w:p w:rsidR="00EC7744" w:rsidRPr="00683075" w:rsidRDefault="00820B6E" w:rsidP="00683075">
      <w:r w:rsidRPr="00683075">
        <w:t>Skladba portfólií indexových fondov ostala bez</w:t>
      </w:r>
      <w:r w:rsidR="00BF0E04" w:rsidRPr="00683075">
        <w:t xml:space="preserve"> </w:t>
      </w:r>
      <w:r w:rsidRPr="00683075">
        <w:t>zmeny. Vo všetkých piatich indexových dôchodkových</w:t>
      </w:r>
      <w:r w:rsidR="00BF0E04" w:rsidRPr="00683075">
        <w:t xml:space="preserve"> </w:t>
      </w:r>
      <w:r w:rsidRPr="00683075">
        <w:t>fondoch sektora pozostával ich majetok</w:t>
      </w:r>
      <w:r w:rsidR="00BF0E04" w:rsidRPr="00683075">
        <w:t xml:space="preserve"> </w:t>
      </w:r>
      <w:r w:rsidRPr="00683075">
        <w:t>takmer výlučne</w:t>
      </w:r>
      <w:r w:rsidR="003E557A">
        <w:t xml:space="preserve"> z </w:t>
      </w:r>
      <w:r w:rsidRPr="00683075">
        <w:t>ETF nástrojov orientovaných</w:t>
      </w:r>
      <w:r w:rsidR="00BF0E04" w:rsidRPr="00683075">
        <w:t xml:space="preserve"> </w:t>
      </w:r>
      <w:r w:rsidRPr="00683075">
        <w:t>na akciové trhy.</w:t>
      </w:r>
    </w:p>
    <w:p w:rsidR="00EC7744" w:rsidRPr="00683075" w:rsidRDefault="00820B6E" w:rsidP="00683075">
      <w:r w:rsidRPr="00683075">
        <w:t>Celkovo možno konštatovať, že uskutočnené</w:t>
      </w:r>
      <w:r w:rsidR="00BF0E04" w:rsidRPr="00683075">
        <w:t xml:space="preserve"> </w:t>
      </w:r>
      <w:r w:rsidRPr="00683075">
        <w:t>zmeny</w:t>
      </w:r>
      <w:r w:rsidR="003E557A">
        <w:t xml:space="preserve"> v </w:t>
      </w:r>
      <w:r w:rsidRPr="00683075">
        <w:t>skladbe portfólií dôchodkových fondov</w:t>
      </w:r>
      <w:r w:rsidR="00BF0E04" w:rsidRPr="00683075">
        <w:t xml:space="preserve"> </w:t>
      </w:r>
      <w:r w:rsidRPr="00683075">
        <w:t>priniesli nielen žiaducu diferenciáciu medzi</w:t>
      </w:r>
      <w:r w:rsidR="00BF0E04" w:rsidRPr="00683075">
        <w:t xml:space="preserve"> </w:t>
      </w:r>
      <w:r w:rsidRPr="00683075">
        <w:t>jednotlivými typmi dôchodkových fondov, ale</w:t>
      </w:r>
      <w:r w:rsidR="00BF0E04" w:rsidRPr="00683075">
        <w:t xml:space="preserve"> </w:t>
      </w:r>
      <w:r w:rsidRPr="00683075">
        <w:t>aj zvýšenú heterogenitu</w:t>
      </w:r>
      <w:r w:rsidR="003E557A">
        <w:t xml:space="preserve"> v </w:t>
      </w:r>
      <w:r w:rsidRPr="00683075">
        <w:t>rámci daného typu</w:t>
      </w:r>
      <w:r w:rsidR="003E557A">
        <w:t xml:space="preserve"> v </w:t>
      </w:r>
      <w:r w:rsidRPr="00683075">
        <w:t xml:space="preserve">závislosti od dôchodkovej správcovskej </w:t>
      </w:r>
      <w:r w:rsidRPr="00683075">
        <w:lastRenderedPageBreak/>
        <w:t>spoločnosti.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Ďalší nárast durácie dlhových cenných papierov</w:t>
      </w:r>
      <w:r w:rsidR="003E557A">
        <w:t xml:space="preserve"> v </w:t>
      </w:r>
      <w:r w:rsidRPr="00683075">
        <w:t>portfóliách dôchodkových fondov naprieč</w:t>
      </w:r>
      <w:r w:rsidR="00BF0E04" w:rsidRPr="00683075">
        <w:t xml:space="preserve"> </w:t>
      </w:r>
      <w:r w:rsidRPr="00683075">
        <w:t>sektorom</w:t>
      </w:r>
    </w:p>
    <w:p w:rsidR="00820B6E" w:rsidRPr="00683075" w:rsidRDefault="00820B6E" w:rsidP="00683075">
      <w:r w:rsidRPr="00683075">
        <w:t>Pokračovaním trendu</w:t>
      </w:r>
      <w:r w:rsidR="003E557A">
        <w:t xml:space="preserve"> z </w:t>
      </w:r>
      <w:r w:rsidRPr="00683075">
        <w:t>roku 2012 bolo ďalšie</w:t>
      </w:r>
      <w:r w:rsidR="00BF0E04" w:rsidRPr="00683075">
        <w:t xml:space="preserve"> </w:t>
      </w:r>
      <w:r w:rsidRPr="00683075">
        <w:t xml:space="preserve">pomerne </w:t>
      </w:r>
      <w:proofErr w:type="spellStart"/>
      <w:r w:rsidRPr="00683075">
        <w:t>signifikantné</w:t>
      </w:r>
      <w:proofErr w:type="spellEnd"/>
      <w:r w:rsidRPr="00683075">
        <w:t xml:space="preserve"> zvýšenie priemernej váženej</w:t>
      </w:r>
      <w:r w:rsidR="00BF0E04" w:rsidRPr="00683075">
        <w:t xml:space="preserve"> </w:t>
      </w:r>
      <w:r w:rsidRPr="00683075">
        <w:t>zostatkovej doby splatnosti dlhových cenných</w:t>
      </w:r>
      <w:r w:rsidR="00BF0E04" w:rsidRPr="00683075">
        <w:t xml:space="preserve"> </w:t>
      </w:r>
      <w:r w:rsidRPr="00683075">
        <w:t>papierov</w:t>
      </w:r>
      <w:r w:rsidR="003E557A">
        <w:t xml:space="preserve"> v </w:t>
      </w:r>
      <w:r w:rsidRPr="00683075">
        <w:t>sektore</w:t>
      </w:r>
      <w:r w:rsidR="003E557A">
        <w:t xml:space="preserve"> z </w:t>
      </w:r>
      <w:r w:rsidRPr="00683075">
        <w:t>2,5 roka na 3,9 roka,</w:t>
      </w:r>
      <w:r w:rsidR="00BF0E04" w:rsidRPr="00683075">
        <w:t xml:space="preserve"> </w:t>
      </w:r>
      <w:r w:rsidRPr="00683075">
        <w:t>pričom situácia sa pri jednotlivých typoch dôchodkových</w:t>
      </w:r>
      <w:r w:rsidR="00BF0E04" w:rsidRPr="00683075">
        <w:t xml:space="preserve"> </w:t>
      </w:r>
      <w:r w:rsidRPr="00683075">
        <w:t>fondov (s výnimkou indexových) od</w:t>
      </w:r>
      <w:r w:rsidR="00BF0E04" w:rsidRPr="00683075">
        <w:t xml:space="preserve"> </w:t>
      </w:r>
      <w:r w:rsidRPr="00683075">
        <w:t>celkového priemeru líšila iba minimálne. Nárast</w:t>
      </w:r>
      <w:r w:rsidR="00BF0E04" w:rsidRPr="00683075">
        <w:t xml:space="preserve"> </w:t>
      </w:r>
      <w:r w:rsidRPr="00683075">
        <w:t>zostatkovej splatnosti sa vo väčšej či menšej miere</w:t>
      </w:r>
      <w:r w:rsidR="00BF0E04" w:rsidRPr="00683075">
        <w:t xml:space="preserve"> </w:t>
      </w:r>
      <w:r w:rsidRPr="00683075">
        <w:t>odohral vo všetkých dôchodkových fondoch</w:t>
      </w:r>
      <w:r w:rsidR="003E557A">
        <w:t xml:space="preserve"> a </w:t>
      </w:r>
      <w:r w:rsidRPr="00683075">
        <w:t>zároveň sa zväčšil už aj tak pomerne široký rozptyl</w:t>
      </w:r>
      <w:r w:rsidR="00BF0E04" w:rsidRPr="00683075">
        <w:t xml:space="preserve"> </w:t>
      </w:r>
      <w:r w:rsidRPr="00683075">
        <w:t>tohto parametra naprieč fondmi. Sprievodným</w:t>
      </w:r>
      <w:r w:rsidR="00BF0E04" w:rsidRPr="00683075">
        <w:t xml:space="preserve"> </w:t>
      </w:r>
      <w:r w:rsidRPr="00683075">
        <w:t>javom predlžovania zostatkovej splatnosti</w:t>
      </w:r>
      <w:r w:rsidR="00BF0E04" w:rsidRPr="00683075">
        <w:t xml:space="preserve"> </w:t>
      </w:r>
      <w:r w:rsidRPr="00683075">
        <w:t>dlhových nástrojov bolo zvýšenie modifikovanej</w:t>
      </w:r>
      <w:r w:rsidR="00BF0E04" w:rsidRPr="00683075">
        <w:t xml:space="preserve"> </w:t>
      </w:r>
      <w:proofErr w:type="spellStart"/>
      <w:r w:rsidRPr="00683075">
        <w:t>durácie</w:t>
      </w:r>
      <w:proofErr w:type="spellEnd"/>
      <w:r w:rsidR="003E557A">
        <w:t xml:space="preserve"> v </w:t>
      </w:r>
      <w:r w:rsidRPr="00683075">
        <w:t>dôchodkových fondoch</w:t>
      </w:r>
      <w:r w:rsidR="003E557A">
        <w:t xml:space="preserve"> v </w:t>
      </w:r>
      <w:r w:rsidRPr="00683075">
        <w:t>priemere</w:t>
      </w:r>
      <w:r w:rsidR="003E557A">
        <w:t xml:space="preserve"> z </w:t>
      </w:r>
      <w:r w:rsidRPr="00683075">
        <w:t>úrovne 1,9 na hladinu 3,1.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Vážená zmluvná splatnosť termínovaných vkladov</w:t>
      </w:r>
      <w:r w:rsidR="00BF0E04" w:rsidRPr="00683075">
        <w:t xml:space="preserve"> </w:t>
      </w:r>
      <w:r w:rsidRPr="00683075">
        <w:t>sa menila iba pri akciových dôchodkových</w:t>
      </w:r>
      <w:r w:rsidR="00BF0E04" w:rsidRPr="00683075">
        <w:t xml:space="preserve"> </w:t>
      </w:r>
      <w:r w:rsidRPr="00683075">
        <w:t>fondoch,</w:t>
      </w:r>
      <w:r w:rsidR="003E557A">
        <w:t xml:space="preserve"> a </w:t>
      </w:r>
      <w:r w:rsidRPr="00683075">
        <w:t>to mierne smerom nadol. Navyše,</w:t>
      </w:r>
      <w:r w:rsidR="003E557A">
        <w:t xml:space="preserve"> a </w:t>
      </w:r>
      <w:r w:rsidRPr="00683075">
        <w:t>to</w:t>
      </w:r>
      <w:r w:rsidR="00BF0E04" w:rsidRPr="00683075">
        <w:t xml:space="preserve"> </w:t>
      </w:r>
      <w:r w:rsidRPr="00683075">
        <w:t>platí aj o zmiešaných dôchodkových fondoch, sa</w:t>
      </w:r>
      <w:r w:rsidR="003E557A">
        <w:t xml:space="preserve"> v </w:t>
      </w:r>
      <w:r w:rsidRPr="00683075">
        <w:t>rámci vkladov</w:t>
      </w:r>
      <w:r w:rsidR="003E557A">
        <w:t xml:space="preserve"> v </w:t>
      </w:r>
      <w:r w:rsidRPr="00683075">
        <w:t>bankách výrazne zmenil pomer</w:t>
      </w:r>
      <w:r w:rsidR="00BF0E04" w:rsidRPr="00683075">
        <w:t xml:space="preserve"> </w:t>
      </w:r>
      <w:r w:rsidRPr="00683075">
        <w:t>medzi termínovanými</w:t>
      </w:r>
      <w:r w:rsidR="003E557A">
        <w:t xml:space="preserve"> a </w:t>
      </w:r>
      <w:r w:rsidRPr="00683075">
        <w:t>netermínovanými</w:t>
      </w:r>
      <w:r w:rsidR="00BF0E04" w:rsidRPr="00683075">
        <w:t xml:space="preserve"> </w:t>
      </w:r>
      <w:r w:rsidRPr="00683075">
        <w:t>vkladmi</w:t>
      </w:r>
      <w:r w:rsidR="003E557A">
        <w:t xml:space="preserve"> v </w:t>
      </w:r>
      <w:r w:rsidRPr="00683075">
        <w:t>prospech bežných účtov. Výsledkom</w:t>
      </w:r>
      <w:r w:rsidR="00BF0E04" w:rsidRPr="00683075">
        <w:t xml:space="preserve"> </w:t>
      </w:r>
      <w:r w:rsidRPr="00683075">
        <w:t>je, že pri týchto dvoch typoch fondov sa znížila</w:t>
      </w:r>
      <w:r w:rsidR="00BF0E04" w:rsidRPr="00683075">
        <w:t xml:space="preserve"> </w:t>
      </w:r>
      <w:r w:rsidRPr="00683075">
        <w:t>priemerná úroková sadzba, ktorou boli vklady</w:t>
      </w:r>
      <w:r w:rsidR="003E557A">
        <w:t xml:space="preserve"> v </w:t>
      </w:r>
      <w:r w:rsidRPr="00683075">
        <w:t>bankách zhodnocované.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V štruktúre dlhových cenných papierov podľa</w:t>
      </w:r>
      <w:r w:rsidR="00BF0E04" w:rsidRPr="00683075">
        <w:t xml:space="preserve"> </w:t>
      </w:r>
      <w:r w:rsidRPr="00683075">
        <w:t>typu emitenta sa mierne posilnila pozícia dlhopisov</w:t>
      </w:r>
      <w:r w:rsidR="00BF0E04" w:rsidRPr="00683075">
        <w:t xml:space="preserve"> </w:t>
      </w:r>
      <w:r w:rsidRPr="00683075">
        <w:t>vydaných podnikmi.</w:t>
      </w:r>
      <w:r w:rsidR="003E557A">
        <w:t xml:space="preserve"> s </w:t>
      </w:r>
      <w:r w:rsidRPr="00683075">
        <w:t>podielom 57</w:t>
      </w:r>
      <w:r w:rsidR="003E557A">
        <w:t xml:space="preserve"> % </w:t>
      </w:r>
      <w:r w:rsidRPr="00683075">
        <w:t>na</w:t>
      </w:r>
      <w:r w:rsidR="00BF0E04" w:rsidRPr="00683075">
        <w:t xml:space="preserve"> </w:t>
      </w:r>
      <w:r w:rsidRPr="00683075">
        <w:t>konci júna 2013 však boli najdôležitejšou zložkou</w:t>
      </w:r>
      <w:r w:rsidR="00BF0E04" w:rsidRPr="00683075">
        <w:t xml:space="preserve"> </w:t>
      </w:r>
      <w:r w:rsidRPr="00683075">
        <w:t>dlhopisy</w:t>
      </w:r>
      <w:r w:rsidR="003E557A">
        <w:t xml:space="preserve"> s </w:t>
      </w:r>
      <w:r w:rsidRPr="00683075">
        <w:t>prívlastkom štátne.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Dva akciové dôchodkové fondy</w:t>
      </w:r>
      <w:r w:rsidR="003E557A">
        <w:t xml:space="preserve"> a </w:t>
      </w:r>
      <w:r w:rsidRPr="00683075">
        <w:t>jeden zmiešaný</w:t>
      </w:r>
      <w:r w:rsidR="00BF0E04" w:rsidRPr="00683075">
        <w:t xml:space="preserve"> </w:t>
      </w:r>
      <w:r w:rsidRPr="00683075">
        <w:t>dôchodkový fond zaznamenali výrazný nárast</w:t>
      </w:r>
      <w:r w:rsidR="00BF0E04" w:rsidRPr="00683075">
        <w:t xml:space="preserve"> </w:t>
      </w:r>
      <w:r w:rsidRPr="00683075">
        <w:t>podielu investícií denominovaných</w:t>
      </w:r>
      <w:r w:rsidR="003E557A">
        <w:t xml:space="preserve"> v </w:t>
      </w:r>
      <w:r w:rsidRPr="00683075">
        <w:t>cudzích</w:t>
      </w:r>
      <w:r w:rsidR="00BF0E04" w:rsidRPr="00683075">
        <w:t xml:space="preserve"> </w:t>
      </w:r>
      <w:r w:rsidRPr="00683075">
        <w:t>menách,</w:t>
      </w:r>
      <w:r w:rsidR="003E557A">
        <w:t xml:space="preserve"> a </w:t>
      </w:r>
      <w:r w:rsidRPr="00683075">
        <w:t>to na úrovne od 17</w:t>
      </w:r>
      <w:r w:rsidR="003E557A">
        <w:t xml:space="preserve"> % </w:t>
      </w:r>
      <w:r w:rsidRPr="00683075">
        <w:t>až do 60</w:t>
      </w:r>
      <w:r w:rsidR="003E557A">
        <w:t xml:space="preserve"> % </w:t>
      </w:r>
      <w:r w:rsidRPr="00683075">
        <w:t>NAV,</w:t>
      </w:r>
      <w:r w:rsidR="00BF0E04" w:rsidRPr="00683075">
        <w:t xml:space="preserve"> </w:t>
      </w:r>
      <w:r w:rsidRPr="00683075">
        <w:t>pričom tieto pozície neboli vo výraznejšej miere</w:t>
      </w:r>
      <w:r w:rsidR="00BF0E04" w:rsidRPr="00683075">
        <w:t xml:space="preserve"> </w:t>
      </w:r>
      <w:r w:rsidRPr="00683075">
        <w:t>zaisťované derivátovými kontraktmi. Najväčšie</w:t>
      </w:r>
      <w:r w:rsidR="00BF0E04" w:rsidRPr="00683075">
        <w:t xml:space="preserve"> </w:t>
      </w:r>
      <w:r w:rsidRPr="00683075">
        <w:t>zastúpenie mali aktíva (akcie</w:t>
      </w:r>
      <w:r w:rsidR="003E557A">
        <w:t xml:space="preserve"> a </w:t>
      </w:r>
      <w:r w:rsidRPr="00683075">
        <w:t>ETF) denominované</w:t>
      </w:r>
      <w:r w:rsidR="003E557A">
        <w:t xml:space="preserve"> v </w:t>
      </w:r>
      <w:r w:rsidRPr="00683075">
        <w:t>americkom dolári.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Dve dôchodkové správcovské spoločnosti udržovali</w:t>
      </w:r>
      <w:r w:rsidR="00BF0E04" w:rsidRPr="00683075">
        <w:t xml:space="preserve"> </w:t>
      </w:r>
      <w:r w:rsidRPr="00683075">
        <w:t>počas celého sledovaného obdobia vo</w:t>
      </w:r>
      <w:r w:rsidR="00BF0E04" w:rsidRPr="00683075">
        <w:t xml:space="preserve"> </w:t>
      </w:r>
      <w:r w:rsidRPr="00683075">
        <w:t>svojich dôchodkových fondoch výraznejší podiel</w:t>
      </w:r>
      <w:r w:rsidR="00BF0E04" w:rsidRPr="00683075">
        <w:t xml:space="preserve"> </w:t>
      </w:r>
      <w:r w:rsidRPr="00683075">
        <w:t>aktív, kde bola protistranou vláda, alebo banka</w:t>
      </w:r>
      <w:r w:rsidR="003E557A">
        <w:t xml:space="preserve"> z </w:t>
      </w:r>
      <w:r w:rsidRPr="00683075">
        <w:t>krajiny so zvýšeným kreditným rizikom3.</w:t>
      </w:r>
      <w:r w:rsidR="003E557A">
        <w:t xml:space="preserve"> v </w:t>
      </w:r>
      <w:r w:rsidRPr="00683075">
        <w:t>rámci</w:t>
      </w:r>
      <w:r w:rsidR="00BF0E04" w:rsidRPr="00683075">
        <w:t xml:space="preserve"> </w:t>
      </w:r>
      <w:r w:rsidRPr="00683075">
        <w:t>tejto skupiny najväčšia váha pripadala slovinským</w:t>
      </w:r>
      <w:r w:rsidR="00BF0E04" w:rsidRPr="00683075">
        <w:t xml:space="preserve"> </w:t>
      </w:r>
      <w:r w:rsidRPr="00683075">
        <w:t>aktívam, pričom tri dôchodkové fondy mali</w:t>
      </w:r>
      <w:r w:rsidR="00BF0E04" w:rsidRPr="00683075">
        <w:t xml:space="preserve"> </w:t>
      </w:r>
      <w:r w:rsidRPr="00683075">
        <w:t>pomerne vysokú koncentráciu vystavenia najmä</w:t>
      </w:r>
      <w:r w:rsidR="00BF0E04" w:rsidRPr="00683075">
        <w:t xml:space="preserve"> </w:t>
      </w:r>
      <w:r w:rsidRPr="00683075">
        <w:t>voči malému počtu (od jednej do troch) slovinských</w:t>
      </w:r>
      <w:r w:rsidR="00BF0E04" w:rsidRPr="00683075">
        <w:t xml:space="preserve"> </w:t>
      </w:r>
      <w:r w:rsidRPr="00683075">
        <w:t>bánk,</w:t>
      </w:r>
      <w:r w:rsidR="003E557A">
        <w:t xml:space="preserve"> a </w:t>
      </w:r>
      <w:r w:rsidRPr="00683075">
        <w:t>to</w:t>
      </w:r>
      <w:r w:rsidR="003E557A">
        <w:t xml:space="preserve"> v </w:t>
      </w:r>
      <w:r w:rsidRPr="00683075">
        <w:t>rozsahu od 7</w:t>
      </w:r>
      <w:r w:rsidR="003E557A">
        <w:t xml:space="preserve"> % </w:t>
      </w:r>
      <w:r w:rsidRPr="00683075">
        <w:t>do 14</w:t>
      </w:r>
      <w:r w:rsidR="003E557A">
        <w:t xml:space="preserve"> % </w:t>
      </w:r>
      <w:r w:rsidRPr="00683075">
        <w:t>NAV.</w:t>
      </w:r>
    </w:p>
    <w:p w:rsidR="00EC7744" w:rsidRPr="00683075" w:rsidRDefault="00820B6E" w:rsidP="00D77337">
      <w:pPr>
        <w:pStyle w:val="zvyraznene"/>
      </w:pPr>
      <w:r w:rsidRPr="00683075">
        <w:t>Nárast volatility aktuálnych hodnôt</w:t>
      </w:r>
      <w:r w:rsidR="00BF0E04" w:rsidRPr="00683075">
        <w:t xml:space="preserve"> </w:t>
      </w:r>
      <w:r w:rsidRPr="00683075">
        <w:t>dôchodkových jednotiek</w:t>
      </w:r>
      <w:r w:rsidR="003E557A">
        <w:t xml:space="preserve"> v </w:t>
      </w:r>
      <w:r w:rsidRPr="00683075">
        <w:t>akciových</w:t>
      </w:r>
      <w:r w:rsidR="003E557A">
        <w:t xml:space="preserve"> a </w:t>
      </w:r>
      <w:r w:rsidRPr="00683075">
        <w:t>zmiešaných</w:t>
      </w:r>
      <w:r w:rsidR="00BF0E04" w:rsidRPr="00683075">
        <w:t xml:space="preserve"> </w:t>
      </w:r>
      <w:r w:rsidRPr="00683075">
        <w:t>fondoch</w:t>
      </w:r>
    </w:p>
    <w:p w:rsidR="00820B6E" w:rsidRPr="00683075" w:rsidRDefault="00820B6E" w:rsidP="00683075">
      <w:r w:rsidRPr="00683075">
        <w:t>Vzhľadom na nárast akciovej zložky</w:t>
      </w:r>
      <w:r w:rsidR="003E557A">
        <w:t xml:space="preserve"> a </w:t>
      </w:r>
      <w:r w:rsidRPr="00683075">
        <w:t>predĺženie</w:t>
      </w:r>
      <w:r w:rsidR="00BF0E04" w:rsidRPr="00683075">
        <w:t xml:space="preserve"> </w:t>
      </w:r>
      <w:proofErr w:type="spellStart"/>
      <w:r w:rsidRPr="00683075">
        <w:t>durácie</w:t>
      </w:r>
      <w:proofErr w:type="spellEnd"/>
      <w:r w:rsidR="003E557A">
        <w:t xml:space="preserve"> v </w:t>
      </w:r>
      <w:r w:rsidRPr="00683075">
        <w:t>dôchodkových fondoch bol vývoj</w:t>
      </w:r>
      <w:r w:rsidR="00BF0E04" w:rsidRPr="00683075">
        <w:t xml:space="preserve"> </w:t>
      </w:r>
      <w:r w:rsidRPr="00683075">
        <w:t>aktuálnych hodnôt dôchodkových jednotiek</w:t>
      </w:r>
      <w:r w:rsidR="00BF0E04" w:rsidRPr="00683075">
        <w:t xml:space="preserve"> </w:t>
      </w:r>
      <w:r w:rsidRPr="00683075">
        <w:t>najmä</w:t>
      </w:r>
      <w:r w:rsidR="003E557A">
        <w:t xml:space="preserve"> v </w:t>
      </w:r>
      <w:r w:rsidRPr="00683075">
        <w:t xml:space="preserve">závere prvého polroka 2013 </w:t>
      </w:r>
      <w:proofErr w:type="spellStart"/>
      <w:r w:rsidRPr="00683075">
        <w:t>najvolatilnejší</w:t>
      </w:r>
      <w:proofErr w:type="spellEnd"/>
      <w:r w:rsidR="00BF0E04" w:rsidRPr="00683075">
        <w:t xml:space="preserve"> </w:t>
      </w:r>
      <w:r w:rsidRPr="00683075">
        <w:t>za posledné štyri roky. Výsledný efekt kolísania</w:t>
      </w:r>
      <w:r w:rsidR="00BF0E04" w:rsidRPr="00683075">
        <w:t xml:space="preserve"> </w:t>
      </w:r>
      <w:r w:rsidRPr="00683075">
        <w:t>cien aktív bol vo všetkých dôchodkových</w:t>
      </w:r>
      <w:r w:rsidR="00BF0E04" w:rsidRPr="00683075">
        <w:t xml:space="preserve"> </w:t>
      </w:r>
      <w:r w:rsidRPr="00683075">
        <w:t>fondoch okrem indexových prakticky neutrálny</w:t>
      </w:r>
      <w:r w:rsidR="003E557A">
        <w:t xml:space="preserve"> a </w:t>
      </w:r>
      <w:r w:rsidRPr="00683075">
        <w:t>ich výkonnosť sa</w:t>
      </w:r>
      <w:r w:rsidR="003E557A">
        <w:t xml:space="preserve"> </w:t>
      </w:r>
      <w:r w:rsidR="003E557A">
        <w:lastRenderedPageBreak/>
        <w:t>v </w:t>
      </w:r>
      <w:r w:rsidRPr="00683075">
        <w:t>prvom polroku 2013 pohybovala</w:t>
      </w:r>
      <w:r w:rsidR="00BF0E04" w:rsidRPr="00683075">
        <w:t xml:space="preserve"> </w:t>
      </w:r>
      <w:r w:rsidRPr="00683075">
        <w:t>okolo nuly.</w:t>
      </w:r>
      <w:r w:rsidR="003E557A">
        <w:t xml:space="preserve"> v </w:t>
      </w:r>
      <w:r w:rsidRPr="00683075">
        <w:t>indexových dôchodkových</w:t>
      </w:r>
      <w:r w:rsidR="00BF0E04" w:rsidRPr="00683075">
        <w:t xml:space="preserve"> </w:t>
      </w:r>
      <w:r w:rsidRPr="00683075">
        <w:t>fondoch bola situácia lepšia, keď tieto zaznamenali</w:t>
      </w:r>
      <w:r w:rsidR="003E557A">
        <w:t xml:space="preserve"> v </w:t>
      </w:r>
      <w:r w:rsidRPr="00683075">
        <w:t>prvých šiestich mesiacoch roka 2013</w:t>
      </w:r>
      <w:r w:rsidR="00BF0E04" w:rsidRPr="00683075">
        <w:t xml:space="preserve"> </w:t>
      </w:r>
      <w:r w:rsidRPr="00683075">
        <w:t>priemerné nominálne zhodnotenie vo výške</w:t>
      </w:r>
      <w:r w:rsidR="00BF0E04" w:rsidRPr="00683075">
        <w:t xml:space="preserve"> </w:t>
      </w:r>
      <w:r w:rsidRPr="00683075">
        <w:t>necelých 6 %.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3 Pre účely tejto kapitoly sem patrí</w:t>
      </w:r>
      <w:r w:rsidR="00BF0E04" w:rsidRPr="00683075">
        <w:t xml:space="preserve"> </w:t>
      </w:r>
      <w:r w:rsidRPr="00683075">
        <w:t>Cyprus, Grécko, Írsko, Maďarsko,</w:t>
      </w:r>
      <w:r w:rsidR="00BF0E04" w:rsidRPr="00683075">
        <w:t xml:space="preserve"> </w:t>
      </w:r>
      <w:r w:rsidRPr="00683075">
        <w:t>Portugalsko, Slovinsko, Španielsko</w:t>
      </w:r>
      <w:r w:rsidR="003E557A">
        <w:t xml:space="preserve"> a </w:t>
      </w:r>
      <w:r w:rsidRPr="00683075">
        <w:t>Taliansko.</w:t>
      </w:r>
    </w:p>
    <w:p w:rsidR="00EC7744" w:rsidRPr="00683075" w:rsidRDefault="00820B6E" w:rsidP="00683075">
      <w:r w:rsidRPr="00683075">
        <w:t>Pozitívnejšie vyznieva hodnotenie výkonnosti</w:t>
      </w:r>
      <w:r w:rsidR="003E557A">
        <w:t xml:space="preserve"> z </w:t>
      </w:r>
      <w:r w:rsidRPr="00683075">
        <w:t>medziročného pohľadu,</w:t>
      </w:r>
      <w:r w:rsidR="003E557A">
        <w:t xml:space="preserve"> a </w:t>
      </w:r>
      <w:r w:rsidRPr="00683075">
        <w:t>to zásluhou priaznivého</w:t>
      </w:r>
      <w:r w:rsidR="00BF0E04" w:rsidRPr="00683075">
        <w:t xml:space="preserve"> </w:t>
      </w:r>
      <w:r w:rsidRPr="00683075">
        <w:t>vývoja cien aktív ešte</w:t>
      </w:r>
      <w:r w:rsidR="003E557A">
        <w:t xml:space="preserve"> v </w:t>
      </w:r>
      <w:r w:rsidRPr="00683075">
        <w:t>druhom polroku</w:t>
      </w:r>
      <w:r w:rsidR="00BF0E04" w:rsidRPr="00683075">
        <w:t xml:space="preserve"> </w:t>
      </w:r>
      <w:r w:rsidRPr="00683075">
        <w:t>2012. Ku dňu 30. 6. 2013 dosiahli všetky dôchodkové</w:t>
      </w:r>
      <w:r w:rsidR="00BF0E04" w:rsidRPr="00683075">
        <w:t xml:space="preserve"> </w:t>
      </w:r>
      <w:r w:rsidRPr="00683075">
        <w:t>fondy,</w:t>
      </w:r>
      <w:r w:rsidR="003E557A">
        <w:t xml:space="preserve"> s </w:t>
      </w:r>
      <w:r w:rsidRPr="00683075">
        <w:t>výnimkou jedného akciového,</w:t>
      </w:r>
      <w:r w:rsidR="00BF0E04" w:rsidRPr="00683075">
        <w:t xml:space="preserve"> </w:t>
      </w:r>
      <w:r w:rsidRPr="00683075">
        <w:t>kladný medziročný výnos</w:t>
      </w:r>
      <w:r w:rsidR="003E557A">
        <w:t xml:space="preserve"> v </w:t>
      </w:r>
      <w:r w:rsidRPr="00683075">
        <w:t>pásme od 0,3</w:t>
      </w:r>
      <w:r w:rsidR="003E557A">
        <w:t xml:space="preserve"> % </w:t>
      </w:r>
      <w:r w:rsidRPr="00683075">
        <w:t>do</w:t>
      </w:r>
      <w:r w:rsidR="00BF0E04" w:rsidRPr="00683075">
        <w:t xml:space="preserve"> </w:t>
      </w:r>
      <w:r w:rsidRPr="00683075">
        <w:t>20,9 %. Suverénne najlepšie sa darilo indexovým</w:t>
      </w:r>
      <w:r w:rsidR="00BF0E04" w:rsidRPr="00683075">
        <w:t xml:space="preserve"> </w:t>
      </w:r>
      <w:r w:rsidRPr="00683075">
        <w:t>dôchodkovým fondom, ktoré</w:t>
      </w:r>
      <w:r w:rsidR="003E557A">
        <w:t xml:space="preserve"> v </w:t>
      </w:r>
      <w:r w:rsidRPr="00683075">
        <w:t>priemere nominálne</w:t>
      </w:r>
      <w:r w:rsidR="00BF0E04" w:rsidRPr="00683075">
        <w:t xml:space="preserve"> </w:t>
      </w:r>
      <w:r w:rsidRPr="00683075">
        <w:t>zarobili 15 %. Za nimi nasledovali zmiešané</w:t>
      </w:r>
      <w:r w:rsidR="00BF0E04" w:rsidRPr="00683075">
        <w:t xml:space="preserve"> </w:t>
      </w:r>
      <w:r w:rsidRPr="00683075">
        <w:t>dôchodkové fondy, avšak už</w:t>
      </w:r>
      <w:r w:rsidR="003E557A">
        <w:t xml:space="preserve"> s </w:t>
      </w:r>
      <w:r w:rsidRPr="00683075">
        <w:t>podstatne nižším</w:t>
      </w:r>
      <w:r w:rsidR="00BF0E04" w:rsidRPr="00683075">
        <w:t xml:space="preserve"> </w:t>
      </w:r>
      <w:r w:rsidRPr="00683075">
        <w:t>priemerom na úrovni 1,7 %. Dlhopisové</w:t>
      </w:r>
      <w:r w:rsidR="003E557A">
        <w:t xml:space="preserve"> a </w:t>
      </w:r>
      <w:r w:rsidRPr="00683075">
        <w:t>akciové</w:t>
      </w:r>
      <w:r w:rsidR="00BF0E04" w:rsidRPr="00683075">
        <w:t xml:space="preserve"> </w:t>
      </w:r>
      <w:r w:rsidRPr="00683075">
        <w:t>dôchodkové fondy si</w:t>
      </w:r>
      <w:r w:rsidR="003E557A">
        <w:t xml:space="preserve"> v </w:t>
      </w:r>
      <w:r w:rsidRPr="00683075">
        <w:t>rovnakom období pripísali</w:t>
      </w:r>
      <w:r w:rsidR="00BF0E04" w:rsidRPr="00683075">
        <w:t xml:space="preserve"> </w:t>
      </w:r>
      <w:r w:rsidRPr="00683075">
        <w:t>priemernú výkonnosť 1,0 %, resp. 0,7 %.</w:t>
      </w:r>
    </w:p>
    <w:p w:rsidR="00EC7744" w:rsidRPr="00683075" w:rsidRDefault="00820B6E" w:rsidP="00683075">
      <w:r w:rsidRPr="00683075">
        <w:t>Súhrnný čistý zisk dôchodkových správcovských</w:t>
      </w:r>
      <w:r w:rsidR="00BF0E04" w:rsidRPr="00683075">
        <w:t xml:space="preserve"> </w:t>
      </w:r>
      <w:r w:rsidRPr="00683075">
        <w:t>spoločností vzrástol</w:t>
      </w:r>
      <w:r w:rsidR="003E557A">
        <w:t xml:space="preserve"> v </w:t>
      </w:r>
      <w:r w:rsidRPr="00683075">
        <w:t>prvom polroku 2013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rovnakým obdobím minulého roka</w:t>
      </w:r>
      <w:r w:rsidR="00BF0E04" w:rsidRPr="00683075">
        <w:t xml:space="preserve"> </w:t>
      </w:r>
      <w:r w:rsidRPr="00683075">
        <w:t>o 40</w:t>
      </w:r>
      <w:r w:rsidR="003E557A">
        <w:t xml:space="preserve"> % </w:t>
      </w:r>
      <w:r w:rsidRPr="00683075">
        <w:t>na hodnotu 5,42 mil. €. O lepší hospodársky</w:t>
      </w:r>
      <w:r w:rsidR="00BF0E04" w:rsidRPr="00683075">
        <w:t xml:space="preserve"> </w:t>
      </w:r>
      <w:r w:rsidRPr="00683075">
        <w:t>výsledok na sektorovej úrovni sa zaslúžili</w:t>
      </w:r>
      <w:r w:rsidR="00BF0E04" w:rsidRPr="00683075">
        <w:t xml:space="preserve"> </w:t>
      </w:r>
      <w:r w:rsidRPr="00683075">
        <w:t>výnosy</w:t>
      </w:r>
      <w:r w:rsidR="003E557A">
        <w:t xml:space="preserve"> z </w:t>
      </w:r>
      <w:r w:rsidRPr="00683075">
        <w:t>odplát</w:t>
      </w:r>
      <w:r w:rsidR="003E557A">
        <w:t xml:space="preserve"> a </w:t>
      </w:r>
      <w:r w:rsidRPr="00683075">
        <w:t>provízií, ktoré sa medziročne</w:t>
      </w:r>
      <w:r w:rsidR="00BF0E04" w:rsidRPr="00683075">
        <w:t xml:space="preserve"> </w:t>
      </w:r>
      <w:r w:rsidRPr="00683075">
        <w:t>zvýšili o 17 %. Najväčší prírastok (+106 %) zaznamenali</w:t>
      </w:r>
      <w:r w:rsidR="00BF0E04" w:rsidRPr="00683075">
        <w:t xml:space="preserve"> </w:t>
      </w:r>
      <w:r w:rsidRPr="00683075">
        <w:t>odplaty za zhodnotenie majetku</w:t>
      </w:r>
      <w:r w:rsidR="003E557A">
        <w:t xml:space="preserve"> v </w:t>
      </w:r>
      <w:r w:rsidRPr="00683075">
        <w:t>dôchodkových fondoch. Dôvodom boli najmä</w:t>
      </w:r>
      <w:r w:rsidR="00BF0E04" w:rsidRPr="00683075">
        <w:t xml:space="preserve"> </w:t>
      </w:r>
      <w:r w:rsidRPr="00683075">
        <w:t>legislatívne úpravy, ktoré od 1. 1. 2013 rozšírili</w:t>
      </w:r>
      <w:r w:rsidR="00BF0E04" w:rsidRPr="00683075">
        <w:t xml:space="preserve"> </w:t>
      </w:r>
      <w:r w:rsidRPr="00683075">
        <w:t>pôsobnosť odplát za zhodnotenie na všetky typy</w:t>
      </w:r>
      <w:r w:rsidR="00BF0E04" w:rsidRPr="00683075">
        <w:t xml:space="preserve"> </w:t>
      </w:r>
      <w:r w:rsidRPr="00683075">
        <w:t>dôchodkových fondov,</w:t>
      </w:r>
      <w:r w:rsidR="003E557A">
        <w:t xml:space="preserve"> a </w:t>
      </w:r>
      <w:r w:rsidRPr="00683075">
        <w:t>najmä zvýšili koeficient</w:t>
      </w:r>
      <w:r w:rsidR="00BF0E04" w:rsidRPr="00683075">
        <w:t xml:space="preserve"> </w:t>
      </w:r>
      <w:r w:rsidRPr="00683075">
        <w:t>pre výpočet tejto odplaty</w:t>
      </w:r>
      <w:r w:rsidR="003E557A">
        <w:t xml:space="preserve"> z </w:t>
      </w:r>
      <w:r w:rsidRPr="00683075">
        <w:t>5,6</w:t>
      </w:r>
      <w:r w:rsidR="003E557A">
        <w:t xml:space="preserve"> % </w:t>
      </w:r>
      <w:r w:rsidRPr="00683075">
        <w:t>na 10</w:t>
      </w:r>
      <w:r w:rsidR="003E557A">
        <w:t xml:space="preserve"> % </w:t>
      </w:r>
      <w:r w:rsidRPr="00683075">
        <w:t>ročne.</w:t>
      </w:r>
      <w:r w:rsidR="00BF0E04" w:rsidRPr="00683075">
        <w:t xml:space="preserve"> </w:t>
      </w:r>
      <w:r w:rsidRPr="00683075">
        <w:t>Vyššia priemerná NAV</w:t>
      </w:r>
      <w:r w:rsidR="003E557A">
        <w:t xml:space="preserve"> v </w:t>
      </w:r>
      <w:r w:rsidRPr="00683075">
        <w:t>prvom polroku 2013 sa</w:t>
      </w:r>
      <w:r w:rsidR="00BF0E04" w:rsidRPr="00683075">
        <w:t xml:space="preserve"> </w:t>
      </w:r>
      <w:r w:rsidRPr="00683075">
        <w:t>premietla do 12 %-</w:t>
      </w:r>
      <w:proofErr w:type="spellStart"/>
      <w:r w:rsidRPr="00683075">
        <w:t>ného</w:t>
      </w:r>
      <w:proofErr w:type="spellEnd"/>
      <w:r w:rsidRPr="00683075">
        <w:t xml:space="preserve"> nárastu odplát za správu</w:t>
      </w:r>
      <w:r w:rsidR="00BF0E04" w:rsidRPr="00683075">
        <w:t xml:space="preserve"> </w:t>
      </w:r>
      <w:r w:rsidRPr="00683075">
        <w:t>dôchodkového fondu. Na druhej strane však</w:t>
      </w:r>
      <w:r w:rsidR="00BF0E04" w:rsidRPr="00683075">
        <w:t xml:space="preserve"> </w:t>
      </w:r>
      <w:r w:rsidRPr="00683075">
        <w:t>o viac ako polovicu klesol objem odplát za vedenie</w:t>
      </w:r>
      <w:r w:rsidR="00BF0E04" w:rsidRPr="00683075">
        <w:t xml:space="preserve"> </w:t>
      </w:r>
      <w:r w:rsidRPr="00683075">
        <w:t>osobného dôchodkového účtu, nakoľko</w:t>
      </w:r>
      <w:r w:rsidR="00BF0E04" w:rsidRPr="00683075">
        <w:t xml:space="preserve"> </w:t>
      </w:r>
      <w:r w:rsidRPr="00683075">
        <w:t>mesačný odvod do druhého piliera bol na jeseň</w:t>
      </w:r>
      <w:r w:rsidR="00BF0E04" w:rsidRPr="00683075">
        <w:t xml:space="preserve"> </w:t>
      </w:r>
      <w:r w:rsidRPr="00683075">
        <w:t>roka 2012 znížený</w:t>
      </w:r>
      <w:r w:rsidR="003E557A">
        <w:t xml:space="preserve"> z </w:t>
      </w:r>
      <w:r w:rsidRPr="00683075">
        <w:t>9</w:t>
      </w:r>
      <w:r w:rsidR="003E557A">
        <w:t xml:space="preserve"> % </w:t>
      </w:r>
      <w:r w:rsidRPr="00683075">
        <w:t>na 4</w:t>
      </w:r>
      <w:r w:rsidR="003E557A">
        <w:t xml:space="preserve"> % </w:t>
      </w:r>
      <w:r w:rsidRPr="00683075">
        <w:t>vymeriavacieho</w:t>
      </w:r>
      <w:r w:rsidR="00BF0E04" w:rsidRPr="00683075">
        <w:t xml:space="preserve"> </w:t>
      </w:r>
      <w:r w:rsidRPr="00683075">
        <w:t>základu.</w:t>
      </w:r>
      <w:r w:rsidR="003E557A">
        <w:t xml:space="preserve"> k </w:t>
      </w:r>
      <w:r w:rsidRPr="00683075">
        <w:t>zvýšeniu ziskovosti prispeli aj mierne</w:t>
      </w:r>
      <w:r w:rsidR="00BF0E04" w:rsidRPr="00683075">
        <w:t xml:space="preserve"> </w:t>
      </w:r>
      <w:r w:rsidRPr="00683075">
        <w:t>úspory na strane nákladov vynaložených na odplaty</w:t>
      </w:r>
      <w:r w:rsidR="003E557A">
        <w:t xml:space="preserve"> a </w:t>
      </w:r>
      <w:r w:rsidRPr="00683075">
        <w:t>provízie. Prevádzkové náklady išli nahor</w:t>
      </w:r>
      <w:r w:rsidR="00BF0E04" w:rsidRPr="00683075">
        <w:t xml:space="preserve"> </w:t>
      </w:r>
      <w:r w:rsidRPr="00683075">
        <w:t>zhruba o 3 %. Výsledok hospodárenia bol medziročne</w:t>
      </w:r>
      <w:r w:rsidR="00BF0E04" w:rsidRPr="00683075">
        <w:t xml:space="preserve"> </w:t>
      </w:r>
      <w:r w:rsidRPr="00683075">
        <w:t>vyšší</w:t>
      </w:r>
      <w:r w:rsidR="003E557A">
        <w:t xml:space="preserve"> v </w:t>
      </w:r>
      <w:r w:rsidRPr="00683075">
        <w:t>troch dôchodkových správcovských</w:t>
      </w:r>
      <w:r w:rsidR="00BF0E04" w:rsidRPr="00683075">
        <w:t xml:space="preserve"> </w:t>
      </w:r>
      <w:r w:rsidRPr="00683075">
        <w:t>spoločnostiach.</w:t>
      </w:r>
      <w:r w:rsidR="003E557A">
        <w:t xml:space="preserve"> v </w:t>
      </w:r>
      <w:r w:rsidRPr="00683075">
        <w:t>strate skončila iba jedna</w:t>
      </w:r>
      <w:r w:rsidR="00BF0E04" w:rsidRPr="00683075">
        <w:t xml:space="preserve"> </w:t>
      </w:r>
      <w:r w:rsidRPr="00683075">
        <w:t>dôchodková správcovská spoločnosť,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dvoma</w:t>
      </w:r>
      <w:r w:rsidR="003E557A">
        <w:t xml:space="preserve"> v </w:t>
      </w:r>
      <w:r w:rsidRPr="00683075">
        <w:t>prvom polroku 2012.</w:t>
      </w:r>
    </w:p>
    <w:p w:rsidR="00EC7744" w:rsidRPr="00683075" w:rsidRDefault="00820B6E" w:rsidP="0002424C">
      <w:pPr>
        <w:pStyle w:val="Nadpis3"/>
      </w:pPr>
      <w:bookmarkStart w:id="12" w:name="_Toc376206546"/>
      <w:r w:rsidRPr="00683075">
        <w:t>Doplnkové dôchodkové</w:t>
      </w:r>
      <w:r w:rsidR="00BF0E04" w:rsidRPr="00683075">
        <w:t xml:space="preserve"> </w:t>
      </w:r>
      <w:r w:rsidRPr="00683075">
        <w:t>sporenie</w:t>
      </w:r>
      <w:bookmarkEnd w:id="12"/>
    </w:p>
    <w:p w:rsidR="00EC7744" w:rsidRPr="00683075" w:rsidRDefault="00820B6E" w:rsidP="00D77337">
      <w:pPr>
        <w:pStyle w:val="zvyraznene"/>
      </w:pPr>
      <w:r w:rsidRPr="00683075">
        <w:t>Pokračovanie trendu zvyšovania významu menších</w:t>
      </w:r>
      <w:r w:rsidR="00BF0E04" w:rsidRPr="00683075">
        <w:t xml:space="preserve"> </w:t>
      </w:r>
      <w:r w:rsidRPr="00683075">
        <w:t>špecializovaných doplnkových dôchodkových</w:t>
      </w:r>
      <w:r w:rsidR="00BF0E04" w:rsidRPr="00683075">
        <w:t xml:space="preserve"> </w:t>
      </w:r>
      <w:r w:rsidRPr="00683075">
        <w:t>fondov</w:t>
      </w:r>
      <w:r w:rsidR="003E557A">
        <w:t xml:space="preserve"> z </w:t>
      </w:r>
      <w:r w:rsidRPr="00683075">
        <w:t>hľadiska počtu sporiteľov aj objemu</w:t>
      </w:r>
      <w:r w:rsidR="00BF0E04" w:rsidRPr="00683075">
        <w:t xml:space="preserve"> </w:t>
      </w:r>
      <w:r w:rsidRPr="00683075">
        <w:t>spravovaných aktív</w:t>
      </w:r>
    </w:p>
    <w:p w:rsidR="00EC7744" w:rsidRPr="00683075" w:rsidRDefault="00820B6E" w:rsidP="00683075">
      <w:r w:rsidRPr="00683075">
        <w:t>Celkový počet účastníkov</w:t>
      </w:r>
      <w:r w:rsidR="003E557A">
        <w:t xml:space="preserve"> v </w:t>
      </w:r>
      <w:r w:rsidRPr="00683075">
        <w:t>treťom pilieri dôchodkového</w:t>
      </w:r>
      <w:r w:rsidR="00BF0E04" w:rsidRPr="00683075">
        <w:t xml:space="preserve"> </w:t>
      </w:r>
      <w:r w:rsidRPr="00683075">
        <w:t>sporenia sa</w:t>
      </w:r>
      <w:r w:rsidR="003E557A">
        <w:t xml:space="preserve"> v </w:t>
      </w:r>
      <w:r w:rsidRPr="00683075">
        <w:t>prvom polroku 2013</w:t>
      </w:r>
      <w:r w:rsidR="00BF0E04" w:rsidRPr="00683075">
        <w:t xml:space="preserve"> </w:t>
      </w:r>
      <w:r w:rsidRPr="00683075">
        <w:t>mierne znížil o 9 365</w:t>
      </w:r>
      <w:r w:rsidR="003E557A">
        <w:t xml:space="preserve"> a </w:t>
      </w:r>
      <w:r w:rsidRPr="00683075">
        <w:t>na konci sledovaného</w:t>
      </w:r>
      <w:r w:rsidR="00BF0E04" w:rsidRPr="00683075">
        <w:t xml:space="preserve"> </w:t>
      </w:r>
      <w:r w:rsidRPr="00683075">
        <w:t>obdobia dosahoval 863 tisíc.</w:t>
      </w:r>
      <w:r w:rsidR="003E557A">
        <w:t xml:space="preserve"> k </w:t>
      </w:r>
      <w:r w:rsidRPr="00683075">
        <w:t>tomuto poklesu</w:t>
      </w:r>
      <w:r w:rsidR="00BF0E04" w:rsidRPr="00683075">
        <w:t xml:space="preserve"> </w:t>
      </w:r>
      <w:r w:rsidRPr="00683075">
        <w:t>rozhodujúcou mierou prispel úbytok účastníkov</w:t>
      </w:r>
      <w:r w:rsidR="003E557A">
        <w:t xml:space="preserve"> v </w:t>
      </w:r>
      <w:r w:rsidRPr="00683075">
        <w:t>jednom výplatnom doplnkovom dôchodkovom</w:t>
      </w:r>
      <w:r w:rsidR="00BF0E04" w:rsidRPr="00683075">
        <w:t xml:space="preserve"> </w:t>
      </w:r>
      <w:r w:rsidRPr="00683075">
        <w:t>fonde o vyše 20 tisíc. Zmena počtu účastníkov</w:t>
      </w:r>
      <w:r w:rsidR="00BF0E04" w:rsidRPr="00683075">
        <w:t xml:space="preserve"> </w:t>
      </w:r>
      <w:r w:rsidRPr="00683075">
        <w:t>za všetky výplatné doplnkové dôchodkové</w:t>
      </w:r>
      <w:r w:rsidR="00BF0E04" w:rsidRPr="00683075">
        <w:t xml:space="preserve"> </w:t>
      </w:r>
      <w:r w:rsidRPr="00683075">
        <w:t>fondy bola teda záporná na úrovni necelých</w:t>
      </w:r>
      <w:r w:rsidR="00BF0E04" w:rsidRPr="00683075">
        <w:t xml:space="preserve"> </w:t>
      </w:r>
      <w:r w:rsidRPr="00683075">
        <w:t>18 tisíc. Počet účastníkov príspevkových doplnkových</w:t>
      </w:r>
      <w:r w:rsidR="00BF0E04" w:rsidRPr="00683075">
        <w:t xml:space="preserve"> </w:t>
      </w:r>
      <w:r w:rsidRPr="00683075">
        <w:t>dôchodkových fondov sa čiastočne zvýšil.</w:t>
      </w:r>
      <w:r w:rsidR="00BF0E04" w:rsidRPr="00683075">
        <w:t xml:space="preserve"> </w:t>
      </w:r>
      <w:r w:rsidRPr="00683075">
        <w:t>Tak ako to už platí dlhodobejšie, prírastok zaznamenali</w:t>
      </w:r>
      <w:r w:rsidR="00BF0E04" w:rsidRPr="00683075">
        <w:t xml:space="preserve"> </w:t>
      </w:r>
      <w:r w:rsidRPr="00683075">
        <w:t xml:space="preserve">menšie </w:t>
      </w:r>
      <w:r w:rsidRPr="00683075">
        <w:lastRenderedPageBreak/>
        <w:t>doplnkové dôchodkové fondy</w:t>
      </w:r>
      <w:r w:rsidR="00BF0E04" w:rsidRPr="00683075">
        <w:t xml:space="preserve"> </w:t>
      </w:r>
      <w:r w:rsidRPr="00683075">
        <w:t>so špecializovanými investičnými stratégiami</w:t>
      </w:r>
      <w:r w:rsidR="00BF0E04" w:rsidRPr="00683075">
        <w:t xml:space="preserve"> </w:t>
      </w:r>
      <w:r w:rsidRPr="00683075">
        <w:t>(+12 tisíc účastníkov). Rovnako ostal zachovaný</w:t>
      </w:r>
      <w:r w:rsidR="00BF0E04" w:rsidRPr="00683075">
        <w:t xml:space="preserve"> </w:t>
      </w:r>
      <w:r w:rsidRPr="00683075">
        <w:t>negatívny trend vo vývoji počtu účastníkov</w:t>
      </w:r>
      <w:r w:rsidR="003E557A">
        <w:t xml:space="preserve"> v </w:t>
      </w:r>
      <w:r w:rsidRPr="00683075">
        <w:t>skupine veľkých vyvážených doplnkových dôchodkových</w:t>
      </w:r>
      <w:r w:rsidR="00BF0E04" w:rsidRPr="00683075">
        <w:t xml:space="preserve"> </w:t>
      </w:r>
      <w:r w:rsidRPr="00683075">
        <w:t>fondov, avšak jeho intenzita sa znížila</w:t>
      </w:r>
      <w:r w:rsidR="00BF0E04" w:rsidRPr="00683075">
        <w:t xml:space="preserve"> </w:t>
      </w:r>
      <w:r w:rsidRPr="00683075">
        <w:t>(-4 tisíc účastníkov).</w:t>
      </w:r>
    </w:p>
    <w:p w:rsidR="00EC7744" w:rsidRPr="00683075" w:rsidRDefault="00820B6E" w:rsidP="00683075">
      <w:r w:rsidRPr="00683075">
        <w:t>Čistá hodnota spravovaných aktív (NAV)</w:t>
      </w:r>
      <w:r w:rsidR="003E557A">
        <w:t xml:space="preserve"> v </w:t>
      </w:r>
      <w:r w:rsidRPr="00683075">
        <w:t>sektore</w:t>
      </w:r>
      <w:r w:rsidR="00BF0E04" w:rsidRPr="00683075">
        <w:t xml:space="preserve"> </w:t>
      </w:r>
      <w:r w:rsidRPr="00683075">
        <w:t>doplnkového dôchodkového sporenia sa</w:t>
      </w:r>
      <w:r w:rsidR="003E557A">
        <w:t xml:space="preserve"> v </w:t>
      </w:r>
      <w:r w:rsidRPr="00683075">
        <w:t>prvom</w:t>
      </w:r>
      <w:r w:rsidR="00BF0E04" w:rsidRPr="00683075">
        <w:t xml:space="preserve"> </w:t>
      </w:r>
      <w:r w:rsidRPr="00683075">
        <w:t>polroku 2013 zvýšila o 12,2 mil. €,</w:t>
      </w:r>
      <w:r w:rsidR="003E557A">
        <w:t xml:space="preserve"> a </w:t>
      </w:r>
      <w:r w:rsidRPr="00683075">
        <w:t>na jeho</w:t>
      </w:r>
      <w:r w:rsidR="00BF0E04" w:rsidRPr="00683075">
        <w:t xml:space="preserve"> </w:t>
      </w:r>
      <w:r w:rsidRPr="00683075">
        <w:t>konci dosahovala úroveň 1,313 mld. €. Tempo</w:t>
      </w:r>
      <w:r w:rsidR="00BF0E04" w:rsidRPr="00683075">
        <w:t xml:space="preserve"> </w:t>
      </w:r>
      <w:r w:rsidRPr="00683075">
        <w:t>rastu dosiahlo výšku necelého jedného percenta,</w:t>
      </w:r>
      <w:r w:rsidR="00BF0E04" w:rsidRPr="00683075">
        <w:t xml:space="preserve"> </w:t>
      </w:r>
      <w:r w:rsidRPr="00683075">
        <w:t>čo predstavuje výraznejšie spomalenie oproti</w:t>
      </w:r>
      <w:r w:rsidR="00BF0E04" w:rsidRPr="00683075">
        <w:t xml:space="preserve"> </w:t>
      </w:r>
      <w:r w:rsidRPr="00683075">
        <w:t>11 %-nej dynamike</w:t>
      </w:r>
      <w:r w:rsidR="003E557A">
        <w:t xml:space="preserve"> z </w:t>
      </w:r>
      <w:r w:rsidRPr="00683075">
        <w:t>roku 2012. Rozhodujúcim</w:t>
      </w:r>
      <w:r w:rsidR="00BF0E04" w:rsidRPr="00683075">
        <w:t xml:space="preserve"> </w:t>
      </w:r>
      <w:r w:rsidRPr="00683075">
        <w:t>faktorom, ktorý vysvetľuje rozdiel</w:t>
      </w:r>
      <w:r w:rsidR="003E557A">
        <w:t xml:space="preserve"> v </w:t>
      </w:r>
      <w:r w:rsidRPr="00683075">
        <w:t>prírastkoch</w:t>
      </w:r>
      <w:r w:rsidR="00BF0E04" w:rsidRPr="00683075">
        <w:t xml:space="preserve"> </w:t>
      </w:r>
      <w:r w:rsidRPr="00683075">
        <w:t>NAV, bola výkonnosť doplnkových dôchodkových</w:t>
      </w:r>
      <w:r w:rsidR="00BF0E04" w:rsidRPr="00683075">
        <w:t xml:space="preserve"> </w:t>
      </w:r>
      <w:r w:rsidRPr="00683075">
        <w:t>fondov. Kým</w:t>
      </w:r>
      <w:r w:rsidR="003E557A">
        <w:t xml:space="preserve"> v </w:t>
      </w:r>
      <w:r w:rsidRPr="00683075">
        <w:t>roku 2012 zhodnotenie aktív</w:t>
      </w:r>
      <w:r w:rsidR="00BF0E04" w:rsidRPr="00683075">
        <w:t xml:space="preserve"> </w:t>
      </w:r>
      <w:r w:rsidRPr="00683075">
        <w:t>prispelo významnou mierou</w:t>
      </w:r>
      <w:r w:rsidR="003E557A">
        <w:t xml:space="preserve"> k </w:t>
      </w:r>
      <w:r w:rsidRPr="00683075">
        <w:t>rastu sektora</w:t>
      </w:r>
      <w:r w:rsidR="003E557A">
        <w:t xml:space="preserve"> z </w:t>
      </w:r>
      <w:r w:rsidRPr="00683075">
        <w:t>hľadiska NAV,</w:t>
      </w:r>
      <w:r w:rsidR="003E557A">
        <w:t xml:space="preserve"> v </w:t>
      </w:r>
      <w:r w:rsidRPr="00683075">
        <w:t>aktuálnom sledovanom období</w:t>
      </w:r>
      <w:r w:rsidR="00BF0E04" w:rsidRPr="00683075">
        <w:t xml:space="preserve"> </w:t>
      </w:r>
      <w:r w:rsidRPr="00683075">
        <w:t xml:space="preserve">bol vplyv výkonnosti dokonca mierne záporný. </w:t>
      </w:r>
    </w:p>
    <w:p w:rsidR="00EC7744" w:rsidRPr="00683075" w:rsidRDefault="00820B6E" w:rsidP="00683075">
      <w:r w:rsidRPr="00683075">
        <w:t>Prakticky celý nárast sektorovej NAV zabezpečili</w:t>
      </w:r>
      <w:r w:rsidR="00BF0E04" w:rsidRPr="00683075">
        <w:t xml:space="preserve"> </w:t>
      </w:r>
      <w:r w:rsidRPr="00683075">
        <w:t>menšie doplnkové dôchodkové fondy so špecializovanou</w:t>
      </w:r>
      <w:r w:rsidR="00BF0E04" w:rsidRPr="00683075">
        <w:t xml:space="preserve"> </w:t>
      </w:r>
      <w:r w:rsidRPr="00683075">
        <w:t>investičnou stratégiou, ktorých objem</w:t>
      </w:r>
      <w:r w:rsidR="00BF0E04" w:rsidRPr="00683075">
        <w:t xml:space="preserve"> </w:t>
      </w:r>
      <w:r w:rsidRPr="00683075">
        <w:t>aktív vzrástol</w:t>
      </w:r>
      <w:r w:rsidR="003E557A">
        <w:t xml:space="preserve"> v </w:t>
      </w:r>
      <w:r w:rsidRPr="00683075">
        <w:t>prvom polroku 2013</w:t>
      </w:r>
      <w:r w:rsidR="003E557A">
        <w:t xml:space="preserve"> v </w:t>
      </w:r>
      <w:r w:rsidRPr="00683075">
        <w:t>relatívnom</w:t>
      </w:r>
      <w:r w:rsidR="00BF0E04" w:rsidRPr="00683075">
        <w:t xml:space="preserve"> </w:t>
      </w:r>
      <w:r w:rsidRPr="00683075">
        <w:t>vyjadrení o 9 %. Podiel tejto skupiny doplnkových</w:t>
      </w:r>
      <w:r w:rsidR="00BF0E04" w:rsidRPr="00683075">
        <w:t xml:space="preserve"> </w:t>
      </w:r>
      <w:r w:rsidRPr="00683075">
        <w:t>dôchodkových fondov bol aj na konci sledovaného</w:t>
      </w:r>
      <w:r w:rsidR="00BF0E04" w:rsidRPr="00683075">
        <w:t xml:space="preserve"> </w:t>
      </w:r>
      <w:r w:rsidRPr="00683075">
        <w:t>obdobia stále pomerne nízky – okolo 14 %,</w:t>
      </w:r>
      <w:r w:rsidR="00BF0E04" w:rsidRPr="00683075">
        <w:t xml:space="preserve"> </w:t>
      </w:r>
      <w:r w:rsidRPr="00683075">
        <w:t>avšak zotrval</w:t>
      </w:r>
      <w:r w:rsidR="003E557A">
        <w:t xml:space="preserve"> v </w:t>
      </w:r>
      <w:r w:rsidRPr="00683075">
        <w:t>nepretržite rastúcom trende. NAV</w:t>
      </w:r>
      <w:r w:rsidR="00BF0E04" w:rsidRPr="00683075">
        <w:t xml:space="preserve"> </w:t>
      </w:r>
      <w:r w:rsidRPr="00683075">
        <w:t>menších doplnkových dôchodkových fondov sa</w:t>
      </w:r>
      <w:r w:rsidR="00BF0E04" w:rsidRPr="00683075">
        <w:t xml:space="preserve"> </w:t>
      </w:r>
      <w:r w:rsidRPr="00683075">
        <w:t>zvyšovala nie len na agregovanej úrovni, ale aj</w:t>
      </w:r>
      <w:r w:rsidR="003E557A">
        <w:t xml:space="preserve"> v </w:t>
      </w:r>
      <w:r w:rsidRPr="00683075">
        <w:t>každom zo siedmich individuálnych doplnkových</w:t>
      </w:r>
      <w:r w:rsidR="00BF0E04" w:rsidRPr="00683075">
        <w:t xml:space="preserve"> </w:t>
      </w:r>
      <w:r w:rsidRPr="00683075">
        <w:t>dôchodkových fondov</w:t>
      </w:r>
      <w:r w:rsidR="003E557A">
        <w:t xml:space="preserve"> v </w:t>
      </w:r>
      <w:r w:rsidRPr="00683075">
        <w:t>danej skupine.</w:t>
      </w:r>
    </w:p>
    <w:p w:rsidR="00EC7744" w:rsidRPr="00683075" w:rsidRDefault="00820B6E" w:rsidP="00683075">
      <w:r w:rsidRPr="00683075">
        <w:t>Súhrnná NAV veľkých vyvážených doplnkových</w:t>
      </w:r>
      <w:r w:rsidR="00BF0E04" w:rsidRPr="00683075">
        <w:t xml:space="preserve"> </w:t>
      </w:r>
      <w:r w:rsidRPr="00683075">
        <w:t>dôchodkových fondov, ktoré tvoria ťažisko systému,</w:t>
      </w:r>
      <w:r w:rsidR="00BF0E04" w:rsidRPr="00683075">
        <w:t xml:space="preserve"> </w:t>
      </w:r>
      <w:r w:rsidRPr="00683075">
        <w:t>bola</w:t>
      </w:r>
      <w:r w:rsidR="003E557A">
        <w:t xml:space="preserve"> k </w:t>
      </w:r>
      <w:r w:rsidRPr="00683075">
        <w:t>30. 6. 2013 marginálne (o 0,4 %) nižšia</w:t>
      </w:r>
      <w:r w:rsidR="00BF0E04" w:rsidRPr="00683075">
        <w:t xml:space="preserve"> </w:t>
      </w:r>
      <w:r w:rsidRPr="00683075">
        <w:t>ako</w:t>
      </w:r>
      <w:r w:rsidR="003E557A">
        <w:t xml:space="preserve"> k </w:t>
      </w:r>
      <w:r w:rsidRPr="00683075">
        <w:t>poslednému dňu roka 2012. Prísun nových</w:t>
      </w:r>
      <w:r w:rsidR="00BF0E04" w:rsidRPr="00683075">
        <w:t xml:space="preserve"> </w:t>
      </w:r>
      <w:r w:rsidRPr="00683075">
        <w:t>prostriedkov od účastníkov do týchto doplnkových</w:t>
      </w:r>
      <w:r w:rsidR="00BF0E04" w:rsidRPr="00683075">
        <w:t xml:space="preserve"> </w:t>
      </w:r>
      <w:r w:rsidRPr="00683075">
        <w:t>dôchodkových fondov bol</w:t>
      </w:r>
      <w:r w:rsidR="003E557A">
        <w:t xml:space="preserve"> v </w:t>
      </w:r>
      <w:r w:rsidRPr="00683075">
        <w:t>negatívnom</w:t>
      </w:r>
      <w:r w:rsidR="00BF0E04" w:rsidRPr="00683075">
        <w:t xml:space="preserve"> </w:t>
      </w:r>
      <w:r w:rsidRPr="00683075">
        <w:t>zmysle vykompenzovaný odlivom aktív prislúchajúcim</w:t>
      </w:r>
      <w:r w:rsidR="00BF0E04" w:rsidRPr="00683075">
        <w:t xml:space="preserve"> </w:t>
      </w:r>
      <w:r w:rsidRPr="00683075">
        <w:t>tým účastníkom, ktorí sa rozhodli tretí</w:t>
      </w:r>
      <w:r w:rsidR="00BF0E04" w:rsidRPr="00683075">
        <w:t xml:space="preserve"> </w:t>
      </w:r>
      <w:r w:rsidRPr="00683075">
        <w:t>pilier dôchodkového sporenia opustiť, alebo im</w:t>
      </w:r>
      <w:r w:rsidR="00BF0E04" w:rsidRPr="00683075">
        <w:t xml:space="preserve"> </w:t>
      </w:r>
      <w:r w:rsidRPr="00683075">
        <w:t>začala výplatná fáza. NAV na účtoch výplatných</w:t>
      </w:r>
      <w:r w:rsidR="00BF0E04" w:rsidRPr="00683075">
        <w:t xml:space="preserve"> </w:t>
      </w:r>
      <w:r w:rsidRPr="00683075">
        <w:t>doplnkových dôchodkových fondov sa za prvých</w:t>
      </w:r>
      <w:r w:rsidR="00BF0E04" w:rsidRPr="00683075">
        <w:t xml:space="preserve"> </w:t>
      </w:r>
      <w:r w:rsidRPr="00683075">
        <w:t>6 mesiacov roka 2013 tiež zmenila iba zanedbateľným</w:t>
      </w:r>
      <w:r w:rsidR="00BF0E04" w:rsidRPr="00683075">
        <w:t xml:space="preserve"> </w:t>
      </w:r>
      <w:r w:rsidRPr="00683075">
        <w:t>spôsobom (+ 0,6 %).</w:t>
      </w:r>
    </w:p>
    <w:p w:rsidR="00EC7744" w:rsidRPr="00683075" w:rsidRDefault="00820B6E" w:rsidP="00D77337">
      <w:pPr>
        <w:pStyle w:val="zvyraznene"/>
      </w:pPr>
      <w:r w:rsidRPr="00683075">
        <w:t>Vo vyvážených</w:t>
      </w:r>
      <w:r w:rsidR="003E557A">
        <w:t xml:space="preserve"> a </w:t>
      </w:r>
      <w:r w:rsidRPr="00683075">
        <w:t>rastových doplnkových</w:t>
      </w:r>
      <w:r w:rsidR="00BF0E04" w:rsidRPr="00683075">
        <w:t xml:space="preserve"> </w:t>
      </w:r>
      <w:r w:rsidRPr="00683075">
        <w:t>dôchodkových fondoch vzrástol podiel dlhopisovej</w:t>
      </w:r>
      <w:r w:rsidR="00BF0E04" w:rsidRPr="00683075">
        <w:t xml:space="preserve"> </w:t>
      </w:r>
      <w:r w:rsidRPr="00683075">
        <w:t>zložky</w:t>
      </w:r>
    </w:p>
    <w:p w:rsidR="00EC7744" w:rsidRPr="00683075" w:rsidRDefault="00820B6E" w:rsidP="00683075">
      <w:r w:rsidRPr="00683075">
        <w:t>Zmeny</w:t>
      </w:r>
      <w:r w:rsidR="003E557A">
        <w:t xml:space="preserve"> v </w:t>
      </w:r>
      <w:r w:rsidRPr="00683075">
        <w:t>zložení portfólií doplnkových dôchodkových</w:t>
      </w:r>
      <w:r w:rsidR="00BF0E04" w:rsidRPr="00683075">
        <w:t xml:space="preserve"> </w:t>
      </w:r>
      <w:r w:rsidRPr="00683075">
        <w:t>fondov počas prvého polroka 2013 neboli</w:t>
      </w:r>
      <w:r w:rsidR="00BF0E04" w:rsidRPr="00683075">
        <w:t xml:space="preserve"> </w:t>
      </w:r>
      <w:r w:rsidRPr="00683075">
        <w:t>zásadného charakteru.</w:t>
      </w:r>
      <w:r w:rsidR="003E557A">
        <w:t xml:space="preserve"> v </w:t>
      </w:r>
      <w:r w:rsidRPr="00683075">
        <w:t>doplnkových dôchodkových</w:t>
      </w:r>
      <w:r w:rsidR="00BF0E04" w:rsidRPr="00683075">
        <w:t xml:space="preserve"> </w:t>
      </w:r>
      <w:r w:rsidRPr="00683075">
        <w:t>fondoch</w:t>
      </w:r>
      <w:r w:rsidR="003E557A">
        <w:t xml:space="preserve"> s </w:t>
      </w:r>
      <w:r w:rsidRPr="00683075">
        <w:t>vyváženou investičnou</w:t>
      </w:r>
      <w:r w:rsidR="00BF0E04" w:rsidRPr="00683075">
        <w:t xml:space="preserve"> </w:t>
      </w:r>
      <w:r w:rsidRPr="00683075">
        <w:t>stratégiou sa o 5 p. b. zvýšil podiel dlhopisov na</w:t>
      </w:r>
      <w:r w:rsidR="00BF0E04" w:rsidRPr="00683075">
        <w:t xml:space="preserve"> </w:t>
      </w:r>
      <w:r w:rsidRPr="00683075">
        <w:t>celkových aktívach. Ku koncu júna 2013 váha</w:t>
      </w:r>
      <w:r w:rsidR="00BF0E04" w:rsidRPr="00683075">
        <w:t xml:space="preserve"> </w:t>
      </w:r>
      <w:r w:rsidRPr="00683075">
        <w:t>dlhopisovej zložky dosiahla 73 %, čo bola jedna</w:t>
      </w:r>
      <w:r w:rsidR="003E557A">
        <w:t xml:space="preserve"> z </w:t>
      </w:r>
      <w:r w:rsidRPr="00683075">
        <w:t>najvyšších hodnôt tohto ukazovateľa</w:t>
      </w:r>
      <w:r w:rsidR="003E557A">
        <w:t xml:space="preserve"> v </w:t>
      </w:r>
      <w:r w:rsidRPr="00683075">
        <w:t>histórii</w:t>
      </w:r>
      <w:r w:rsidR="00BF0E04" w:rsidRPr="00683075">
        <w:t xml:space="preserve"> </w:t>
      </w:r>
      <w:r w:rsidRPr="00683075">
        <w:t>systému. Druhou najvýznamnejšou triedou aktív</w:t>
      </w:r>
      <w:r w:rsidR="00BF0E04" w:rsidRPr="00683075">
        <w:t xml:space="preserve"> </w:t>
      </w:r>
      <w:r w:rsidRPr="00683075">
        <w:t>vyvážených doplnkových dôchodkových fondov</w:t>
      </w:r>
      <w:r w:rsidR="00BF0E04" w:rsidRPr="00683075">
        <w:t xml:space="preserve"> </w:t>
      </w:r>
      <w:r w:rsidRPr="00683075">
        <w:t>ostali akcie</w:t>
      </w:r>
      <w:r w:rsidR="003E557A">
        <w:t xml:space="preserve"> a </w:t>
      </w:r>
      <w:r w:rsidRPr="00683075">
        <w:t>podielové listy, napriek tomu, že</w:t>
      </w:r>
      <w:r w:rsidR="00BF0E04" w:rsidRPr="00683075">
        <w:t xml:space="preserve"> </w:t>
      </w:r>
      <w:r w:rsidRPr="00683075">
        <w:t>ich zastúpenie sa mierne znížilo na 16,5</w:t>
      </w:r>
      <w:r w:rsidR="003E557A">
        <w:t xml:space="preserve"> % </w:t>
      </w:r>
      <w:r w:rsidRPr="00683075">
        <w:t>NAV.</w:t>
      </w:r>
      <w:r w:rsidR="00BF0E04" w:rsidRPr="00683075">
        <w:t xml:space="preserve"> </w:t>
      </w:r>
      <w:r w:rsidRPr="00683075">
        <w:t>Sektorový priemer bol však ovplyvnený nadol</w:t>
      </w:r>
      <w:r w:rsidR="00BF0E04" w:rsidRPr="00683075">
        <w:t xml:space="preserve"> </w:t>
      </w:r>
      <w:r w:rsidRPr="00683075">
        <w:t>iba dvoma doplnkovými dôchodkovými fondmi</w:t>
      </w:r>
      <w:r w:rsidR="00BF0E04" w:rsidRPr="00683075">
        <w:t xml:space="preserve"> </w:t>
      </w:r>
      <w:r w:rsidRPr="00683075">
        <w:t>jednej doplnkovej dôchodkovej spoločnosti,</w:t>
      </w:r>
      <w:r w:rsidR="003E557A">
        <w:t xml:space="preserve"> v </w:t>
      </w:r>
      <w:r w:rsidRPr="00683075">
        <w:t>ostatných troch fondoch tejto skupiny naopak</w:t>
      </w:r>
      <w:r w:rsidR="00BF0E04" w:rsidRPr="00683075">
        <w:t xml:space="preserve"> </w:t>
      </w:r>
      <w:r w:rsidRPr="00683075">
        <w:t>akcie</w:t>
      </w:r>
      <w:r w:rsidR="003E557A">
        <w:t xml:space="preserve"> a </w:t>
      </w:r>
      <w:r w:rsidRPr="00683075">
        <w:t>podielové listy čiastočne získali na váhe.</w:t>
      </w:r>
      <w:r w:rsidR="00BF0E04" w:rsidRPr="00683075">
        <w:t xml:space="preserve"> </w:t>
      </w:r>
      <w:r w:rsidRPr="00683075">
        <w:t>Podiel spravovaných aktív vo forme vkladov</w:t>
      </w:r>
      <w:r w:rsidR="003E557A">
        <w:t xml:space="preserve"> v </w:t>
      </w:r>
      <w:r w:rsidRPr="00683075">
        <w:t>bankách sa znížil</w:t>
      </w:r>
      <w:r w:rsidR="003E557A">
        <w:t xml:space="preserve"> v </w:t>
      </w:r>
      <w:r w:rsidRPr="00683075">
        <w:t>sledovanom období o polovicu</w:t>
      </w:r>
      <w:r w:rsidR="00BF0E04" w:rsidRPr="00683075">
        <w:t xml:space="preserve"> </w:t>
      </w:r>
      <w:r w:rsidRPr="00683075">
        <w:t xml:space="preserve">na </w:t>
      </w:r>
      <w:r w:rsidRPr="00683075">
        <w:lastRenderedPageBreak/>
        <w:t>dovtedajšie minimum necelých 10 %.</w:t>
      </w:r>
    </w:p>
    <w:p w:rsidR="00820B6E" w:rsidRPr="00683075" w:rsidRDefault="00820B6E" w:rsidP="00683075">
      <w:r w:rsidRPr="00683075">
        <w:t>V doplnkových dôchodkových fondoch</w:t>
      </w:r>
      <w:r w:rsidR="003E557A">
        <w:t xml:space="preserve"> s </w:t>
      </w:r>
      <w:r w:rsidRPr="00683075">
        <w:t>rastovým</w:t>
      </w:r>
      <w:r w:rsidR="00BF0E04" w:rsidRPr="00683075">
        <w:t xml:space="preserve"> </w:t>
      </w:r>
      <w:r w:rsidRPr="00683075">
        <w:t>zameraním sa odohrali</w:t>
      </w:r>
      <w:r w:rsidR="003E557A">
        <w:t xml:space="preserve"> v </w:t>
      </w:r>
      <w:r w:rsidRPr="00683075">
        <w:t>princípe tie isté</w:t>
      </w:r>
      <w:r w:rsidR="00BF0E04" w:rsidRPr="00683075">
        <w:t xml:space="preserve"> </w:t>
      </w:r>
      <w:r w:rsidRPr="00683075">
        <w:t>zmeny ako vo vyvážených fondoch, len miera</w:t>
      </w:r>
      <w:r w:rsidR="00BF0E04" w:rsidRPr="00683075">
        <w:t xml:space="preserve"> </w:t>
      </w:r>
      <w:r w:rsidRPr="00683075">
        <w:t>substitúcie medzi dlhopismi na jednej strane</w:t>
      </w:r>
      <w:r w:rsidR="003E557A">
        <w:t xml:space="preserve"> a </w:t>
      </w:r>
      <w:r w:rsidRPr="00683075">
        <w:t>akciami</w:t>
      </w:r>
      <w:r w:rsidR="003E557A">
        <w:t xml:space="preserve"> a </w:t>
      </w:r>
      <w:r w:rsidRPr="00683075">
        <w:t>podielovým listami na strane druhej</w:t>
      </w:r>
      <w:r w:rsidR="00BF0E04" w:rsidRPr="00683075">
        <w:t xml:space="preserve"> </w:t>
      </w:r>
      <w:r w:rsidRPr="00683075">
        <w:t>bola výraznejšia. Akcie</w:t>
      </w:r>
      <w:r w:rsidR="003E557A">
        <w:t xml:space="preserve"> a </w:t>
      </w:r>
      <w:r w:rsidRPr="00683075">
        <w:t>podielové listy však aj</w:t>
      </w:r>
      <w:r w:rsidR="00BF0E04" w:rsidRPr="00683075">
        <w:t xml:space="preserve"> </w:t>
      </w:r>
      <w:r w:rsidRPr="00683075">
        <w:t>po znížení zo 60</w:t>
      </w:r>
      <w:r w:rsidR="003E557A">
        <w:t xml:space="preserve"> % </w:t>
      </w:r>
      <w:r w:rsidRPr="00683075">
        <w:t>na 45</w:t>
      </w:r>
      <w:r w:rsidR="003E557A">
        <w:t xml:space="preserve"> % </w:t>
      </w:r>
      <w:r w:rsidRPr="00683075">
        <w:t>NAV stále predstavovali</w:t>
      </w:r>
      <w:r w:rsidR="00BF0E04" w:rsidRPr="00683075">
        <w:t xml:space="preserve"> </w:t>
      </w:r>
      <w:r w:rsidRPr="00683075">
        <w:t>primárnu zložku portfólia</w:t>
      </w:r>
      <w:r w:rsidR="003E557A">
        <w:t xml:space="preserve"> v </w:t>
      </w:r>
      <w:r w:rsidRPr="00683075">
        <w:t>tejto skupine</w:t>
      </w:r>
      <w:r w:rsidR="00BF0E04" w:rsidRPr="00683075">
        <w:t xml:space="preserve"> </w:t>
      </w:r>
      <w:r w:rsidRPr="00683075">
        <w:t>fondov.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Doplnkové dôchodkové fondy</w:t>
      </w:r>
      <w:r w:rsidR="003E557A">
        <w:t xml:space="preserve"> s </w:t>
      </w:r>
      <w:r w:rsidRPr="00683075">
        <w:t>konzervatívnou</w:t>
      </w:r>
      <w:r w:rsidR="00BF0E04" w:rsidRPr="00683075">
        <w:t xml:space="preserve"> </w:t>
      </w:r>
      <w:r w:rsidRPr="00683075">
        <w:t>stratégiou zaznamenali zvýšenie zastúpenia vkladov</w:t>
      </w:r>
      <w:r w:rsidR="003E557A">
        <w:t xml:space="preserve"> v </w:t>
      </w:r>
      <w:r w:rsidRPr="00683075">
        <w:t>bankách na zhruba pätinu ich NAV. Štruktúra</w:t>
      </w:r>
      <w:r w:rsidR="00BF0E04" w:rsidRPr="00683075">
        <w:t xml:space="preserve"> </w:t>
      </w:r>
      <w:r w:rsidRPr="00683075">
        <w:t>aktív výplatných doplnkových dôchodkových</w:t>
      </w:r>
      <w:r w:rsidR="00BF0E04" w:rsidRPr="00683075">
        <w:t xml:space="preserve"> </w:t>
      </w:r>
      <w:r w:rsidRPr="00683075">
        <w:t>fondov (72</w:t>
      </w:r>
      <w:r w:rsidR="003E557A">
        <w:t xml:space="preserve"> % </w:t>
      </w:r>
      <w:r w:rsidRPr="00683075">
        <w:t>dlhopisy, 28</w:t>
      </w:r>
      <w:r w:rsidR="003E557A">
        <w:t xml:space="preserve"> % </w:t>
      </w:r>
      <w:r w:rsidRPr="00683075">
        <w:t>vklady</w:t>
      </w:r>
      <w:r w:rsidR="003E557A">
        <w:t xml:space="preserve"> v </w:t>
      </w:r>
      <w:r w:rsidRPr="00683075">
        <w:t>bankách)</w:t>
      </w:r>
      <w:r w:rsidR="00BF0E04" w:rsidRPr="00683075">
        <w:t xml:space="preserve"> </w:t>
      </w:r>
      <w:r w:rsidRPr="00683075">
        <w:t>ostala počas sledovaného obdobia konštantná.</w:t>
      </w:r>
    </w:p>
    <w:p w:rsidR="00EC7744" w:rsidRPr="00683075" w:rsidRDefault="00820B6E" w:rsidP="00683075">
      <w:r w:rsidRPr="00683075">
        <w:t>Aktíva niektorých doplnkových dôchodkových</w:t>
      </w:r>
      <w:r w:rsidR="00BF0E04" w:rsidRPr="00683075">
        <w:t xml:space="preserve"> </w:t>
      </w:r>
      <w:r w:rsidRPr="00683075">
        <w:t>fondov pozostávali aj</w:t>
      </w:r>
      <w:r w:rsidR="003E557A">
        <w:t xml:space="preserve"> z </w:t>
      </w:r>
      <w:r w:rsidRPr="00683075">
        <w:t>derivátových nástrojov,</w:t>
      </w:r>
      <w:r w:rsidR="00BF0E04" w:rsidRPr="00683075">
        <w:t xml:space="preserve"> </w:t>
      </w:r>
      <w:r w:rsidRPr="00683075">
        <w:t>účel ich použitia sa však rôznil.</w:t>
      </w:r>
      <w:r w:rsidR="003E557A">
        <w:t xml:space="preserve"> v </w:t>
      </w:r>
      <w:r w:rsidRPr="00683075">
        <w:t>niektorých doplnkových</w:t>
      </w:r>
      <w:r w:rsidR="00BF0E04" w:rsidRPr="00683075">
        <w:t xml:space="preserve"> </w:t>
      </w:r>
      <w:r w:rsidRPr="00683075">
        <w:t>dôchodkových fondoch mali zabezpečovaciu</w:t>
      </w:r>
      <w:r w:rsidR="00BF0E04" w:rsidRPr="00683075">
        <w:t xml:space="preserve"> </w:t>
      </w:r>
      <w:r w:rsidRPr="00683075">
        <w:t>funkciu, či už proti kurzovému, alebo</w:t>
      </w:r>
      <w:r w:rsidR="00BF0E04" w:rsidRPr="00683075">
        <w:t xml:space="preserve"> </w:t>
      </w:r>
      <w:r w:rsidRPr="00683075">
        <w:t>úrokovému riziku,</w:t>
      </w:r>
      <w:r w:rsidR="003E557A">
        <w:t xml:space="preserve"> v </w:t>
      </w:r>
      <w:r w:rsidRPr="00683075">
        <w:t>iných však slúžili aj na vytváranie</w:t>
      </w:r>
      <w:r w:rsidR="00BF0E04" w:rsidRPr="00683075">
        <w:t xml:space="preserve"> </w:t>
      </w:r>
      <w:r w:rsidRPr="00683075">
        <w:t>špekulatívnych menových pozícií, prípadne</w:t>
      </w:r>
      <w:r w:rsidR="00BF0E04" w:rsidRPr="00683075">
        <w:t xml:space="preserve"> </w:t>
      </w:r>
      <w:r w:rsidRPr="00683075">
        <w:t>na zaujatie pozície na komoditných trhoch.</w:t>
      </w:r>
    </w:p>
    <w:p w:rsidR="00EC7744" w:rsidRPr="00683075" w:rsidRDefault="00820B6E" w:rsidP="00683075">
      <w:r w:rsidRPr="00683075">
        <w:t>Vo vývoji priemernej zostatkovej splatnosti</w:t>
      </w:r>
      <w:r w:rsidR="003E557A">
        <w:t xml:space="preserve"> a </w:t>
      </w:r>
      <w:r w:rsidRPr="00683075">
        <w:t xml:space="preserve">modifikovanej </w:t>
      </w:r>
      <w:proofErr w:type="spellStart"/>
      <w:r w:rsidRPr="00683075">
        <w:t>durácie</w:t>
      </w:r>
      <w:proofErr w:type="spellEnd"/>
      <w:r w:rsidRPr="00683075">
        <w:t xml:space="preserve"> neexistoval</w:t>
      </w:r>
      <w:r w:rsidR="003E557A">
        <w:t xml:space="preserve"> v </w:t>
      </w:r>
      <w:r w:rsidRPr="00683075">
        <w:t>rámci jednotlivých</w:t>
      </w:r>
      <w:r w:rsidR="00BF0E04" w:rsidRPr="00683075">
        <w:t xml:space="preserve"> </w:t>
      </w:r>
      <w:r w:rsidRPr="00683075">
        <w:t>doplnkových dôchodkových fondov</w:t>
      </w:r>
      <w:r w:rsidR="00BF0E04" w:rsidRPr="00683075">
        <w:t xml:space="preserve"> </w:t>
      </w:r>
      <w:r w:rsidRPr="00683075">
        <w:t>jednotný trend</w:t>
      </w:r>
      <w:r w:rsidR="003E557A">
        <w:t xml:space="preserve"> a z </w:t>
      </w:r>
      <w:r w:rsidRPr="00683075">
        <w:t>hľadiska priemeru za sektor</w:t>
      </w:r>
      <w:r w:rsidR="00BF0E04" w:rsidRPr="00683075">
        <w:t xml:space="preserve"> </w:t>
      </w:r>
      <w:r w:rsidRPr="00683075">
        <w:t>je výsledkom nezmenená hodnota týchto ukazovateľov.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Zmluvná splatnosť termínovaných vkladov vo</w:t>
      </w:r>
      <w:r w:rsidR="00BF0E04" w:rsidRPr="00683075">
        <w:t xml:space="preserve"> </w:t>
      </w:r>
      <w:r w:rsidRPr="00683075">
        <w:t>viacerých doplnkových dôchodkových fondoch</w:t>
      </w:r>
      <w:r w:rsidR="00BF0E04" w:rsidRPr="00683075">
        <w:t xml:space="preserve"> </w:t>
      </w:r>
      <w:r w:rsidRPr="00683075">
        <w:t>klesla. Avšak výraznejší nárast</w:t>
      </w:r>
      <w:r w:rsidR="003E557A">
        <w:t xml:space="preserve"> v </w:t>
      </w:r>
      <w:r w:rsidRPr="00683075">
        <w:t>jednom veľkom</w:t>
      </w:r>
      <w:r w:rsidR="00BF0E04" w:rsidRPr="00683075">
        <w:t xml:space="preserve"> </w:t>
      </w:r>
      <w:r w:rsidRPr="00683075">
        <w:t>doplnkovom dôchodkovom fonde potiahol nahor</w:t>
      </w:r>
      <w:r w:rsidR="00BF0E04" w:rsidRPr="00683075">
        <w:t xml:space="preserve"> </w:t>
      </w:r>
      <w:r w:rsidRPr="00683075">
        <w:t>aj sektorový priemer. Úplne analogické tvrdenie</w:t>
      </w:r>
      <w:r w:rsidR="00BF0E04" w:rsidRPr="00683075">
        <w:t xml:space="preserve"> </w:t>
      </w:r>
      <w:r w:rsidRPr="00683075">
        <w:t>platí aj pokiaľ ide o výšku úrokových sadzieb</w:t>
      </w:r>
      <w:r w:rsidR="00BF0E04" w:rsidRPr="00683075">
        <w:t xml:space="preserve"> </w:t>
      </w:r>
      <w:r w:rsidRPr="00683075">
        <w:t>na tieto termínované vklady.</w:t>
      </w:r>
    </w:p>
    <w:p w:rsidR="00820B6E" w:rsidRPr="00683075" w:rsidRDefault="00820B6E" w:rsidP="00683075">
      <w:r w:rsidRPr="00683075">
        <w:t>Štátne dlhové cenné papiere, ktoré</w:t>
      </w:r>
      <w:r w:rsidR="003E557A">
        <w:t xml:space="preserve"> v </w:t>
      </w:r>
      <w:r w:rsidRPr="00683075">
        <w:t>decembri</w:t>
      </w:r>
      <w:r w:rsidR="00BF0E04" w:rsidRPr="00683075">
        <w:t xml:space="preserve"> </w:t>
      </w:r>
      <w:r w:rsidRPr="00683075">
        <w:t>2012 tvorili tesne nadpolovičnú väčšinu všetkých</w:t>
      </w:r>
      <w:r w:rsidR="00BF0E04" w:rsidRPr="00683075">
        <w:t xml:space="preserve"> </w:t>
      </w:r>
      <w:r w:rsidRPr="00683075">
        <w:t>dlhových cenných papierov sektora, ešte posilnili</w:t>
      </w:r>
      <w:r w:rsidR="00BF0E04" w:rsidRPr="00683075">
        <w:t xml:space="preserve"> </w:t>
      </w:r>
      <w:r w:rsidRPr="00683075">
        <w:t>svoju pozíciu až na takmer 60 %.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Priemerná výkonnosť doplnkových dôchodkových</w:t>
      </w:r>
      <w:r w:rsidR="00BF0E04" w:rsidRPr="00683075">
        <w:t xml:space="preserve"> </w:t>
      </w:r>
      <w:r w:rsidRPr="00683075">
        <w:t>fondov bola počas prvého polroka 2013 mierne</w:t>
      </w:r>
      <w:r w:rsidR="00BF0E04" w:rsidRPr="00683075">
        <w:t xml:space="preserve"> </w:t>
      </w:r>
      <w:r w:rsidRPr="00683075">
        <w:t>záporná</w:t>
      </w:r>
    </w:p>
    <w:p w:rsidR="00820B6E" w:rsidRPr="00683075" w:rsidRDefault="00820B6E" w:rsidP="00683075">
      <w:r w:rsidRPr="00683075">
        <w:t>Ako už bolo naznačené</w:t>
      </w:r>
      <w:r w:rsidR="003E557A">
        <w:t xml:space="preserve"> v </w:t>
      </w:r>
      <w:r w:rsidRPr="00683075">
        <w:t>predošlom texte, nominálne</w:t>
      </w:r>
      <w:r w:rsidR="00BF0E04" w:rsidRPr="00683075">
        <w:t xml:space="preserve"> </w:t>
      </w:r>
      <w:r w:rsidRPr="00683075">
        <w:t>zhodnotenie investícií doplnkových</w:t>
      </w:r>
      <w:r w:rsidR="00BF0E04" w:rsidRPr="00683075">
        <w:t xml:space="preserve"> </w:t>
      </w:r>
      <w:r w:rsidRPr="00683075">
        <w:t>dôchodkových fondov bolo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>2013 mierne záporné (-0,8 %). Väčšiu časť sledovaného</w:t>
      </w:r>
      <w:r w:rsidR="00BF0E04" w:rsidRPr="00683075">
        <w:t xml:space="preserve"> </w:t>
      </w:r>
      <w:r w:rsidRPr="00683075">
        <w:t>obdobia aktuálne hodnoty doplnkových</w:t>
      </w:r>
      <w:r w:rsidR="00BF0E04" w:rsidRPr="00683075">
        <w:t xml:space="preserve"> </w:t>
      </w:r>
      <w:r w:rsidRPr="00683075">
        <w:t>dôchodkových jednotiek smerovali nahor, avšak</w:t>
      </w:r>
      <w:r w:rsidR="00BF0E04" w:rsidRPr="00683075">
        <w:t xml:space="preserve"> </w:t>
      </w:r>
      <w:r w:rsidRPr="00683075">
        <w:t>následná pomerne prudká korekcia na finančných</w:t>
      </w:r>
      <w:r w:rsidR="00BF0E04" w:rsidRPr="00683075">
        <w:t xml:space="preserve"> </w:t>
      </w:r>
      <w:r w:rsidRPr="00683075">
        <w:t>trhoch</w:t>
      </w:r>
      <w:r w:rsidR="003E557A">
        <w:t xml:space="preserve"> z </w:t>
      </w:r>
      <w:r w:rsidRPr="00683075">
        <w:t>konca mája</w:t>
      </w:r>
      <w:r w:rsidR="003E557A">
        <w:t xml:space="preserve"> a </w:t>
      </w:r>
      <w:r w:rsidRPr="00683075">
        <w:t>júna 2013 ich vrátila</w:t>
      </w:r>
      <w:r w:rsidR="003E557A">
        <w:t xml:space="preserve"> k </w:t>
      </w:r>
      <w:r w:rsidRPr="00683075">
        <w:t>30. 6. 2013 na podobné úrovne ako dosahovali</w:t>
      </w:r>
      <w:r w:rsidR="00BF0E04" w:rsidRPr="00683075">
        <w:t xml:space="preserve"> </w:t>
      </w:r>
      <w:r w:rsidRPr="00683075">
        <w:t>na začiatku roka.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Na medziročnej báze bol výnos všetkých pätnástich</w:t>
      </w:r>
      <w:r w:rsidR="00BF0E04" w:rsidRPr="00683075">
        <w:t xml:space="preserve"> </w:t>
      </w:r>
      <w:r w:rsidRPr="00683075">
        <w:t>doplnkových dôchodkových fondov stále</w:t>
      </w:r>
      <w:r w:rsidR="003E557A">
        <w:t xml:space="preserve"> v </w:t>
      </w:r>
      <w:r w:rsidRPr="00683075">
        <w:t>kladnom pásme. Najlepšie nominálne zhodnotenie</w:t>
      </w:r>
      <w:r w:rsidR="00BF0E04" w:rsidRPr="00683075">
        <w:t xml:space="preserve"> </w:t>
      </w:r>
      <w:r w:rsidRPr="00683075">
        <w:t>zabezpečili účastníkom</w:t>
      </w:r>
      <w:r w:rsidR="003E557A">
        <w:t xml:space="preserve"> k </w:t>
      </w:r>
      <w:r w:rsidRPr="00683075">
        <w:t>30. 6. 2013</w:t>
      </w:r>
      <w:r w:rsidR="00BF0E04" w:rsidRPr="00683075">
        <w:t xml:space="preserve"> </w:t>
      </w:r>
      <w:r w:rsidRPr="00683075">
        <w:t>rastové doplnkové dôchodkové fondy,</w:t>
      </w:r>
      <w:r w:rsidR="003E557A">
        <w:t xml:space="preserve"> a </w:t>
      </w:r>
      <w:r w:rsidRPr="00683075">
        <w:t>to</w:t>
      </w:r>
      <w:r w:rsidR="003E557A">
        <w:t xml:space="preserve"> v </w:t>
      </w:r>
      <w:r w:rsidRPr="00683075">
        <w:t>priemernej výške až 6,5 %, čo pri priemernej</w:t>
      </w:r>
      <w:r w:rsidR="00BF0E04" w:rsidRPr="00683075">
        <w:t xml:space="preserve"> </w:t>
      </w:r>
      <w:r w:rsidRPr="00683075">
        <w:t>3,6 %-nej inflácii</w:t>
      </w:r>
      <w:r w:rsidR="003E557A">
        <w:t xml:space="preserve"> v </w:t>
      </w:r>
      <w:r w:rsidRPr="00683075">
        <w:t>rovnakom časovom období</w:t>
      </w:r>
      <w:r w:rsidR="00BF0E04" w:rsidRPr="00683075">
        <w:t xml:space="preserve"> </w:t>
      </w:r>
      <w:r w:rsidRPr="00683075">
        <w:t>znamenalo aj pomerne solídny reálny výnos.</w:t>
      </w:r>
      <w:r w:rsidR="00BF0E04" w:rsidRPr="00683075">
        <w:t xml:space="preserve"> </w:t>
      </w:r>
      <w:r w:rsidRPr="00683075">
        <w:t>Vyvážené doplnkové dôchodkové fondy ako</w:t>
      </w:r>
      <w:r w:rsidR="00BF0E04" w:rsidRPr="00683075">
        <w:t xml:space="preserve"> </w:t>
      </w:r>
      <w:r w:rsidRPr="00683075">
        <w:t xml:space="preserve">celok zarobili nominálne 3,4 %. Výkonnosť </w:t>
      </w:r>
      <w:r w:rsidRPr="00683075">
        <w:lastRenderedPageBreak/>
        <w:t>výplatných</w:t>
      </w:r>
      <w:r w:rsidR="00BF0E04" w:rsidRPr="00683075">
        <w:t xml:space="preserve"> </w:t>
      </w:r>
      <w:r w:rsidRPr="00683075">
        <w:t>doplnkových dôchodkových fondov</w:t>
      </w:r>
      <w:r w:rsidR="00BF0E04" w:rsidRPr="00683075">
        <w:t xml:space="preserve"> </w:t>
      </w:r>
      <w:r w:rsidRPr="00683075">
        <w:t>bola 2,7</w:t>
      </w:r>
      <w:r w:rsidR="003E557A">
        <w:t xml:space="preserve"> % a </w:t>
      </w:r>
      <w:r w:rsidRPr="00683075">
        <w:t>najnižšiu hodnotu medziročného</w:t>
      </w:r>
      <w:r w:rsidR="00BF0E04" w:rsidRPr="00683075">
        <w:t xml:space="preserve"> </w:t>
      </w:r>
      <w:r w:rsidRPr="00683075">
        <w:t>výnosu (1,5 %) zaznamenali konzervatívne doplnkové</w:t>
      </w:r>
      <w:r w:rsidR="00BF0E04" w:rsidRPr="00683075">
        <w:t xml:space="preserve"> </w:t>
      </w:r>
      <w:r w:rsidRPr="00683075">
        <w:t>dôchodkové fondy.</w:t>
      </w:r>
    </w:p>
    <w:p w:rsidR="00EC7744" w:rsidRPr="00683075" w:rsidRDefault="00820B6E" w:rsidP="00683075">
      <w:r w:rsidRPr="00683075">
        <w:t>Agregovaný hospodársky výsledok doplnkových</w:t>
      </w:r>
      <w:r w:rsidR="00BF0E04" w:rsidRPr="00683075">
        <w:t xml:space="preserve"> </w:t>
      </w:r>
      <w:r w:rsidRPr="00683075">
        <w:t>dôchodkových spoločností za prvý polrok 2013</w:t>
      </w:r>
      <w:r w:rsidR="00BF0E04" w:rsidRPr="00683075">
        <w:t xml:space="preserve"> </w:t>
      </w:r>
      <w:r w:rsidRPr="00683075">
        <w:t>dosiahol 5,1 mil. €, čo predstavovalo medziročné</w:t>
      </w:r>
      <w:r w:rsidR="00BF0E04" w:rsidRPr="00683075">
        <w:t xml:space="preserve"> </w:t>
      </w:r>
      <w:r w:rsidRPr="00683075">
        <w:t>zlepšenie o 64 %. Na takmer dvojnásobok</w:t>
      </w:r>
      <w:r w:rsidR="00BF0E04" w:rsidRPr="00683075">
        <w:t xml:space="preserve"> </w:t>
      </w:r>
      <w:r w:rsidRPr="00683075">
        <w:t>hodnoty</w:t>
      </w:r>
      <w:r w:rsidR="003E557A">
        <w:t xml:space="preserve"> z </w:t>
      </w:r>
      <w:r w:rsidRPr="00683075">
        <w:t>roku 2012 stúpli</w:t>
      </w:r>
      <w:r w:rsidR="003E557A">
        <w:t xml:space="preserve"> v </w:t>
      </w:r>
      <w:r w:rsidRPr="00683075">
        <w:t>sektore výnosy za</w:t>
      </w:r>
      <w:r w:rsidR="00BF0E04" w:rsidRPr="00683075">
        <w:t xml:space="preserve"> </w:t>
      </w:r>
      <w:r w:rsidRPr="00683075">
        <w:t>zhodnotenie majetku</w:t>
      </w:r>
      <w:r w:rsidR="003E557A">
        <w:t xml:space="preserve"> v </w:t>
      </w:r>
      <w:r w:rsidRPr="00683075">
        <w:t>doplnkovom dôchodkovom</w:t>
      </w:r>
      <w:r w:rsidR="00BF0E04" w:rsidRPr="00683075">
        <w:t xml:space="preserve"> </w:t>
      </w:r>
      <w:r w:rsidRPr="00683075">
        <w:t>fonde, čo bol kľúčový element</w:t>
      </w:r>
      <w:r w:rsidR="003E557A">
        <w:t xml:space="preserve"> v </w:t>
      </w:r>
      <w:r w:rsidRPr="00683075">
        <w:t>pozadí</w:t>
      </w:r>
      <w:r w:rsidR="00BF0E04" w:rsidRPr="00683075">
        <w:t xml:space="preserve"> </w:t>
      </w:r>
      <w:r w:rsidRPr="00683075">
        <w:t>rastu celkovej ziskovosti.</w:t>
      </w:r>
      <w:r w:rsidR="003E557A">
        <w:t xml:space="preserve"> a </w:t>
      </w:r>
      <w:r w:rsidRPr="00683075">
        <w:t>to aj napriek tomu, že</w:t>
      </w:r>
      <w:r w:rsidR="00BF0E04" w:rsidRPr="00683075">
        <w:t xml:space="preserve"> </w:t>
      </w:r>
      <w:r w:rsidRPr="00683075">
        <w:t>počas prvých šiestich mesiacov roka 2013 bola</w:t>
      </w:r>
      <w:r w:rsidR="00BF0E04" w:rsidRPr="00683075">
        <w:t xml:space="preserve"> </w:t>
      </w:r>
      <w:r w:rsidRPr="00683075">
        <w:t>výkonnosť doplnkových dôchodkových fondov</w:t>
      </w:r>
      <w:r w:rsidR="003E557A">
        <w:t xml:space="preserve"> v </w:t>
      </w:r>
      <w:r w:rsidRPr="00683075">
        <w:t>priemere nižšia ako</w:t>
      </w:r>
      <w:r w:rsidR="003E557A">
        <w:t xml:space="preserve"> v </w:t>
      </w:r>
      <w:r w:rsidRPr="00683075">
        <w:t>prvom polroku 2012.</w:t>
      </w:r>
      <w:r w:rsidR="00BF0E04" w:rsidRPr="00683075">
        <w:t xml:space="preserve"> </w:t>
      </w:r>
      <w:r w:rsidRPr="00683075">
        <w:t>Zákonom stanovený vzorec na výpočet odplaty</w:t>
      </w:r>
      <w:r w:rsidR="00BF0E04" w:rsidRPr="00683075">
        <w:t xml:space="preserve"> </w:t>
      </w:r>
      <w:r w:rsidRPr="00683075">
        <w:t>za zhodnotenie však neberie do úvahy aktuálne</w:t>
      </w:r>
      <w:r w:rsidR="00BF0E04" w:rsidRPr="00683075">
        <w:t xml:space="preserve"> </w:t>
      </w:r>
      <w:r w:rsidRPr="00683075">
        <w:t>zhodnotenie</w:t>
      </w:r>
      <w:r w:rsidR="003E557A">
        <w:t xml:space="preserve"> v </w:t>
      </w:r>
      <w:r w:rsidRPr="00683075">
        <w:t>danom sledovanom období, ale</w:t>
      </w:r>
      <w:r w:rsidR="00BF0E04" w:rsidRPr="00683075">
        <w:t xml:space="preserve"> </w:t>
      </w:r>
      <w:r w:rsidRPr="00683075">
        <w:t>je založený na princípe prekonávania</w:t>
      </w:r>
      <w:r w:rsidR="003E557A">
        <w:t xml:space="preserve"> v </w:t>
      </w:r>
      <w:r w:rsidRPr="00683075">
        <w:t>minulosti</w:t>
      </w:r>
      <w:r w:rsidR="00BF0E04" w:rsidRPr="00683075">
        <w:t xml:space="preserve"> </w:t>
      </w:r>
      <w:r w:rsidRPr="00683075">
        <w:t>(od 1. 1. 2010) dosiahnutej maximálnej aktuálnej</w:t>
      </w:r>
      <w:r w:rsidR="00BF0E04" w:rsidRPr="00683075">
        <w:t xml:space="preserve"> </w:t>
      </w:r>
      <w:r w:rsidRPr="00683075">
        <w:t>hodnoty doplnkovej dôchodkovej jednotky. Navyše</w:t>
      </w:r>
      <w:r w:rsidR="00BF0E04" w:rsidRPr="00683075">
        <w:t xml:space="preserve"> </w:t>
      </w:r>
      <w:r w:rsidRPr="00683075">
        <w:t>koeficient, ktorý vystupuje</w:t>
      </w:r>
      <w:r w:rsidR="003E557A">
        <w:t xml:space="preserve"> v </w:t>
      </w:r>
      <w:r w:rsidRPr="00683075">
        <w:t>tomto vzorci,</w:t>
      </w:r>
      <w:r w:rsidR="00BF0E04" w:rsidRPr="00683075">
        <w:t xml:space="preserve"> </w:t>
      </w:r>
      <w:r w:rsidRPr="00683075">
        <w:t>má pre rok 2013 učenú mierne vyššiu hodnotu</w:t>
      </w:r>
      <w:r w:rsidR="00BF0E04" w:rsidRPr="00683075">
        <w:t xml:space="preserve"> </w:t>
      </w:r>
      <w:r w:rsidRPr="00683075">
        <w:t>ako mal pre rok 2012 (0,13 oproti 0,12). Medziročne</w:t>
      </w:r>
      <w:r w:rsidR="00BF0E04" w:rsidRPr="00683075">
        <w:t xml:space="preserve"> </w:t>
      </w:r>
      <w:r w:rsidRPr="00683075">
        <w:t>vyššia priemerná hladina NAV tiež znamenala,</w:t>
      </w:r>
      <w:r w:rsidR="00BF0E04" w:rsidRPr="00683075">
        <w:t xml:space="preserve"> </w:t>
      </w:r>
      <w:r w:rsidRPr="00683075">
        <w:t>že odplaty za správu doplnkového dôchodkového</w:t>
      </w:r>
      <w:r w:rsidR="00BF0E04" w:rsidRPr="00683075">
        <w:t xml:space="preserve"> </w:t>
      </w:r>
      <w:r w:rsidRPr="00683075">
        <w:t>fondu pozvoľne vzrástli. Okrem toho zvýšenie</w:t>
      </w:r>
      <w:r w:rsidR="00BF0E04" w:rsidRPr="00683075">
        <w:t xml:space="preserve"> </w:t>
      </w:r>
      <w:r w:rsidRPr="00683075">
        <w:t>ziskovosti podporila aj mierna redukcia na strane</w:t>
      </w:r>
      <w:r w:rsidR="00BF0E04" w:rsidRPr="00683075">
        <w:t xml:space="preserve"> </w:t>
      </w:r>
      <w:r w:rsidRPr="00683075">
        <w:t>prevádzkových nákladov. Kladný hospodársky</w:t>
      </w:r>
      <w:r w:rsidR="00BF0E04" w:rsidRPr="00683075">
        <w:t xml:space="preserve"> </w:t>
      </w:r>
      <w:r w:rsidRPr="00683075">
        <w:t>výsledok vykázali všetky štyri doplnkové dôchodkové</w:t>
      </w:r>
      <w:r w:rsidR="00BF0E04" w:rsidRPr="00683075">
        <w:t xml:space="preserve"> </w:t>
      </w:r>
      <w:r w:rsidRPr="00683075">
        <w:t>spoločnosti,</w:t>
      </w:r>
      <w:r w:rsidR="003E557A">
        <w:t xml:space="preserve"> z </w:t>
      </w:r>
      <w:r w:rsidRPr="00683075">
        <w:t>toho</w:t>
      </w:r>
      <w:r w:rsidR="003E557A">
        <w:t xml:space="preserve"> v </w:t>
      </w:r>
      <w:r w:rsidRPr="00683075">
        <w:t>troch prípadoch</w:t>
      </w:r>
      <w:r w:rsidR="00BF0E04" w:rsidRPr="00683075">
        <w:t xml:space="preserve"> </w:t>
      </w:r>
      <w:r w:rsidRPr="00683075">
        <w:t>vyšší ako</w:t>
      </w:r>
      <w:r w:rsidR="003E557A">
        <w:t xml:space="preserve"> v </w:t>
      </w:r>
      <w:r w:rsidRPr="00683075">
        <w:t>prvej polovici roka 2012.</w:t>
      </w:r>
    </w:p>
    <w:p w:rsidR="00EC7744" w:rsidRPr="00683075" w:rsidRDefault="00820B6E" w:rsidP="0002424C">
      <w:pPr>
        <w:pStyle w:val="Nadpis2"/>
      </w:pPr>
      <w:bookmarkStart w:id="13" w:name="_Toc376206547"/>
      <w:r w:rsidRPr="00683075">
        <w:t>Kolektívne investovanie</w:t>
      </w:r>
      <w:bookmarkEnd w:id="13"/>
    </w:p>
    <w:p w:rsidR="00820B6E" w:rsidRPr="00683075" w:rsidRDefault="00820B6E" w:rsidP="00683075">
      <w:r w:rsidRPr="00683075">
        <w:t>Rast sektora kolektívneho investovania, meraný objemom spravovaných aktív, pokračoval</w:t>
      </w:r>
      <w:r w:rsidR="003E557A">
        <w:t xml:space="preserve"> v </w:t>
      </w:r>
      <w:r w:rsidRPr="00683075">
        <w:t>sledovanom období</w:t>
      </w:r>
      <w:r w:rsidR="003E557A">
        <w:t xml:space="preserve"> v </w:t>
      </w:r>
      <w:r w:rsidRPr="00683075">
        <w:t>podobnom rozsahu ako počas roka 2012. Rozhodujúca časť zvýšenia čistej</w:t>
      </w:r>
      <w:r w:rsidR="00BF0E04" w:rsidRPr="00683075">
        <w:t xml:space="preserve"> </w:t>
      </w:r>
      <w:r w:rsidRPr="00683075">
        <w:t>hodnoty aktív (NAV) sa vzťahovala na tuzemské podielové fondy, hoci mierny rast NAV zaznamenali</w:t>
      </w:r>
      <w:r w:rsidR="00BF0E04" w:rsidRPr="00683075">
        <w:t xml:space="preserve"> </w:t>
      </w:r>
      <w:r w:rsidRPr="00683075">
        <w:t>aj na Slovensku distribuované zahraničné subjekty kolektívneho investovania. Zdrojom nárastu NAV</w:t>
      </w:r>
      <w:r w:rsidR="00BF0E04" w:rsidRPr="00683075">
        <w:t xml:space="preserve"> </w:t>
      </w:r>
      <w:r w:rsidRPr="00683075">
        <w:t>sektora boli kladné čisté predaje podielových listov, vplyv výkonnosti bol nevýznamný. Paralelu</w:t>
      </w:r>
      <w:r w:rsidR="003E557A">
        <w:t xml:space="preserve"> s </w:t>
      </w:r>
      <w:r w:rsidRPr="00683075">
        <w:t>rokom</w:t>
      </w:r>
      <w:r w:rsidR="00BF0E04" w:rsidRPr="00683075">
        <w:t xml:space="preserve"> </w:t>
      </w:r>
      <w:r w:rsidRPr="00683075">
        <w:t>2012 predstavovala aj štruktúra zmeny NAV</w:t>
      </w:r>
      <w:r w:rsidR="003E557A">
        <w:t xml:space="preserve"> v </w:t>
      </w:r>
      <w:r w:rsidRPr="00683075">
        <w:t>jednotlivých kategóriách tuzemských podielových fondov.</w:t>
      </w:r>
      <w:r w:rsidR="00BF0E04" w:rsidRPr="00683075">
        <w:t xml:space="preserve"> </w:t>
      </w:r>
      <w:r w:rsidRPr="00683075">
        <w:t>Prakticky celý prírastok spravovaných aktív zabezpečili špeciálne podielové fondy. Najväčší prítok</w:t>
      </w:r>
      <w:r w:rsidR="00BF0E04" w:rsidRPr="00683075">
        <w:t xml:space="preserve"> </w:t>
      </w:r>
      <w:r w:rsidRPr="00683075">
        <w:t>prostriedkov zaznamenali špeciálne podielové fondy profesionálnych investorov. Naďalej sa však dobre</w:t>
      </w:r>
      <w:r w:rsidR="00BF0E04" w:rsidRPr="00683075">
        <w:t xml:space="preserve"> </w:t>
      </w:r>
      <w:r w:rsidRPr="00683075">
        <w:t>predávali aj podielové listy špeciálnych podielových fondov nehnuteľností</w:t>
      </w:r>
      <w:r w:rsidR="003E557A">
        <w:t xml:space="preserve"> a </w:t>
      </w:r>
      <w:r w:rsidRPr="00683075">
        <w:t>špeciálnych podielových</w:t>
      </w:r>
      <w:r w:rsidR="00BF0E04" w:rsidRPr="00683075">
        <w:t xml:space="preserve"> </w:t>
      </w:r>
      <w:r w:rsidRPr="00683075">
        <w:t>fondov cenných papierov. Súčet čistých predajov všetkých štandardných podielových fondov bol</w:t>
      </w:r>
      <w:r w:rsidR="00BF0E04" w:rsidRPr="00683075">
        <w:t xml:space="preserve"> </w:t>
      </w:r>
      <w:r w:rsidRPr="00683075">
        <w:t>blízky nule.</w:t>
      </w:r>
      <w:r w:rsidR="003E557A">
        <w:t xml:space="preserve"> v </w:t>
      </w:r>
      <w:r w:rsidRPr="00683075">
        <w:t>rámci toho podielové fondy peňažného zamerania pokračovali</w:t>
      </w:r>
      <w:r w:rsidR="003E557A">
        <w:t xml:space="preserve"> v </w:t>
      </w:r>
      <w:r w:rsidRPr="00683075">
        <w:t>dlhodobejšom trende</w:t>
      </w:r>
      <w:r w:rsidR="00BF0E04" w:rsidRPr="00683075">
        <w:t xml:space="preserve"> </w:t>
      </w:r>
      <w:proofErr w:type="spellStart"/>
      <w:r w:rsidRPr="00683075">
        <w:t>redemácií</w:t>
      </w:r>
      <w:proofErr w:type="spellEnd"/>
      <w:r w:rsidRPr="00683075">
        <w:t>.</w:t>
      </w:r>
      <w:r w:rsidR="003E557A">
        <w:t xml:space="preserve"> s </w:t>
      </w:r>
      <w:r w:rsidRPr="00683075">
        <w:t>výnimkou špeciálnych podielových fondov alternatívnych investícií zabezpečili všetky</w:t>
      </w:r>
      <w:r w:rsidR="00BF0E04" w:rsidRPr="00683075">
        <w:t xml:space="preserve"> </w:t>
      </w:r>
      <w:r w:rsidRPr="00683075">
        <w:t>ostatné kategórie</w:t>
      </w:r>
      <w:r w:rsidR="003E557A">
        <w:t xml:space="preserve"> k </w:t>
      </w:r>
      <w:r w:rsidRPr="00683075">
        <w:t>30. 6. 2013 kladné nominálne zhodnotenie investícií, ale</w:t>
      </w:r>
      <w:r w:rsidR="003E557A">
        <w:t xml:space="preserve"> v </w:t>
      </w:r>
      <w:r w:rsidRPr="00683075">
        <w:t>menšej výške ako tomu</w:t>
      </w:r>
      <w:r w:rsidR="00BF0E04" w:rsidRPr="00683075">
        <w:t xml:space="preserve"> </w:t>
      </w:r>
      <w:r w:rsidRPr="00683075">
        <w:t>bolo ku koncu roka 2012. Sektorový hospodársky výsledok správcovských spoločností bol medziročne</w:t>
      </w:r>
      <w:r w:rsidR="00BF0E04" w:rsidRPr="00683075">
        <w:t xml:space="preserve"> </w:t>
      </w:r>
      <w:r w:rsidRPr="00683075">
        <w:t>nižší o 15 %.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Čistá hodnota spravovaných aktív</w:t>
      </w:r>
      <w:r w:rsidR="003E557A">
        <w:t xml:space="preserve"> v </w:t>
      </w:r>
      <w:r w:rsidRPr="00683075">
        <w:t>sektore rástla</w:t>
      </w:r>
      <w:r w:rsidR="003E557A">
        <w:t xml:space="preserve"> a </w:t>
      </w:r>
      <w:r w:rsidRPr="00683075">
        <w:t>priblížila sa svojmu historickému maximu</w:t>
      </w:r>
    </w:p>
    <w:p w:rsidR="00820B6E" w:rsidRPr="00683075" w:rsidRDefault="00820B6E" w:rsidP="00683075">
      <w:r w:rsidRPr="00683075">
        <w:lastRenderedPageBreak/>
        <w:t>Sektor kolektívneho investovania na Slovensku</w:t>
      </w:r>
      <w:r w:rsidR="00BF0E04" w:rsidRPr="00683075">
        <w:t xml:space="preserve"> </w:t>
      </w:r>
      <w:r w:rsidRPr="00683075">
        <w:t>rástol</w:t>
      </w:r>
      <w:r w:rsidR="003E557A">
        <w:t xml:space="preserve"> v </w:t>
      </w:r>
      <w:r w:rsidRPr="00683075">
        <w:t>prvom polroku 2013 porovnateľným</w:t>
      </w:r>
      <w:r w:rsidR="00BF0E04" w:rsidRPr="00683075">
        <w:t xml:space="preserve"> </w:t>
      </w:r>
      <w:r w:rsidRPr="00683075">
        <w:t>tempom ako</w:t>
      </w:r>
      <w:r w:rsidR="003E557A">
        <w:t xml:space="preserve"> v </w:t>
      </w:r>
      <w:r w:rsidRPr="00683075">
        <w:t xml:space="preserve">predošlom roku. Súčet čistej </w:t>
      </w:r>
    </w:p>
    <w:p w:rsidR="00EC7744" w:rsidRPr="00683075" w:rsidRDefault="00820B6E" w:rsidP="00683075">
      <w:r w:rsidRPr="00683075">
        <w:t>hodnoty aktív (NAV) tuzemských podielových</w:t>
      </w:r>
      <w:r w:rsidR="00BF0E04" w:rsidRPr="00683075">
        <w:t xml:space="preserve"> </w:t>
      </w:r>
      <w:r w:rsidRPr="00683075">
        <w:t>fondov</w:t>
      </w:r>
      <w:r w:rsidR="003E557A">
        <w:t xml:space="preserve"> a </w:t>
      </w:r>
      <w:r w:rsidRPr="00683075">
        <w:t>zahraničných subjektov kolektívneho</w:t>
      </w:r>
      <w:r w:rsidR="00BF0E04" w:rsidRPr="00683075">
        <w:t xml:space="preserve"> </w:t>
      </w:r>
      <w:r w:rsidRPr="00683075">
        <w:t>investovania sa</w:t>
      </w:r>
      <w:r w:rsidR="003E557A">
        <w:t xml:space="preserve"> v </w:t>
      </w:r>
      <w:r w:rsidRPr="00683075">
        <w:t>sledovanom období zvýšil</w:t>
      </w:r>
      <w:r w:rsidR="00BF0E04" w:rsidRPr="00683075">
        <w:t xml:space="preserve"> </w:t>
      </w:r>
      <w:r w:rsidRPr="00683075">
        <w:t>o 7,7 %, čo</w:t>
      </w:r>
      <w:r w:rsidR="003E557A">
        <w:t xml:space="preserve"> v </w:t>
      </w:r>
      <w:r w:rsidRPr="00683075">
        <w:t>peňažnom vyjadrení predstavovalo</w:t>
      </w:r>
      <w:r w:rsidR="00BF0E04" w:rsidRPr="00683075">
        <w:t xml:space="preserve"> </w:t>
      </w:r>
      <w:r w:rsidRPr="00683075">
        <w:t>341 mil. €.</w:t>
      </w:r>
      <w:r w:rsidR="003E557A">
        <w:t xml:space="preserve"> k </w:t>
      </w:r>
      <w:r w:rsidRPr="00683075">
        <w:t>poslednému dňu júna 2013 tak NAV</w:t>
      </w:r>
      <w:r w:rsidR="00BF0E04" w:rsidRPr="00683075">
        <w:t xml:space="preserve"> </w:t>
      </w:r>
      <w:r w:rsidRPr="00683075">
        <w:t>sektora dosahovala úroveň 4,74 mld. €. Vyššia</w:t>
      </w:r>
      <w:r w:rsidR="00BF0E04" w:rsidRPr="00683075">
        <w:t xml:space="preserve"> </w:t>
      </w:r>
      <w:r w:rsidRPr="00683075">
        <w:t>hodnota NAV bola</w:t>
      </w:r>
      <w:r w:rsidR="003E557A">
        <w:t xml:space="preserve"> v </w:t>
      </w:r>
      <w:r w:rsidRPr="00683075">
        <w:t>minulosti zaznamenaná iba</w:t>
      </w:r>
      <w:r w:rsidR="00BF0E04" w:rsidRPr="00683075">
        <w:t xml:space="preserve"> </w:t>
      </w:r>
      <w:r w:rsidRPr="00683075">
        <w:t>počas zhruba ročného obdobia, ktoré predchádzalo</w:t>
      </w:r>
      <w:r w:rsidR="00BF0E04" w:rsidRPr="00683075">
        <w:t xml:space="preserve"> </w:t>
      </w:r>
      <w:r w:rsidRPr="00683075">
        <w:t>prehĺbeniu globálnej finančnej krízy na</w:t>
      </w:r>
      <w:r w:rsidR="00BF0E04" w:rsidRPr="00683075">
        <w:t xml:space="preserve"> </w:t>
      </w:r>
      <w:r w:rsidRPr="00683075">
        <w:t>jeseň roka 2008. Na vyrovnanie historického maxima</w:t>
      </w:r>
      <w:r w:rsidR="00BF0E04" w:rsidRPr="00683075">
        <w:t xml:space="preserve"> </w:t>
      </w:r>
      <w:r w:rsidRPr="00683075">
        <w:t>by musela agregovaná NAV</w:t>
      </w:r>
      <w:r w:rsidR="003E557A">
        <w:t xml:space="preserve"> v </w:t>
      </w:r>
      <w:r w:rsidRPr="00683075">
        <w:t>sektore vzrásť</w:t>
      </w:r>
      <w:r w:rsidR="00BF0E04" w:rsidRPr="00683075">
        <w:t xml:space="preserve"> </w:t>
      </w:r>
      <w:r w:rsidRPr="00683075">
        <w:t>ešte o necelých 12 %.</w:t>
      </w:r>
    </w:p>
    <w:p w:rsidR="00EC7744" w:rsidRPr="00683075" w:rsidRDefault="00820B6E" w:rsidP="00683075">
      <w:r w:rsidRPr="00683075">
        <w:t>Takmer celý rozsah zvýšenia NAV má pôvod</w:t>
      </w:r>
      <w:r w:rsidR="003E557A">
        <w:t xml:space="preserve"> v </w:t>
      </w:r>
      <w:r w:rsidRPr="00683075">
        <w:t>kladnej bilancii čistých predajov podielových</w:t>
      </w:r>
      <w:r w:rsidR="00BF0E04" w:rsidRPr="00683075">
        <w:t xml:space="preserve"> </w:t>
      </w:r>
      <w:r w:rsidRPr="00683075">
        <w:t>listov. Vplyv výkonnosti počas prvých šiestich</w:t>
      </w:r>
      <w:r w:rsidR="00BF0E04" w:rsidRPr="00683075">
        <w:t xml:space="preserve"> </w:t>
      </w:r>
      <w:r w:rsidRPr="00683075">
        <w:t>mesiacov roka 2013 bol síce tiež kladný, ale</w:t>
      </w:r>
      <w:r w:rsidR="003E557A">
        <w:t xml:space="preserve"> v </w:t>
      </w:r>
      <w:r w:rsidRPr="00683075">
        <w:t>celkovom</w:t>
      </w:r>
      <w:r w:rsidR="00BF0E04" w:rsidRPr="00683075">
        <w:t xml:space="preserve"> </w:t>
      </w:r>
      <w:r w:rsidRPr="00683075">
        <w:t>kontexte relatívne zanedbateľný.</w:t>
      </w:r>
    </w:p>
    <w:p w:rsidR="00820B6E" w:rsidRPr="00683075" w:rsidRDefault="00820B6E" w:rsidP="00683075">
      <w:r w:rsidRPr="00683075">
        <w:t>Na rozdiel od roka 2012, keď tzv. krížové investície</w:t>
      </w:r>
      <w:r w:rsidR="00BF0E04" w:rsidRPr="00683075">
        <w:t xml:space="preserve"> </w:t>
      </w:r>
      <w:r w:rsidRPr="00683075">
        <w:t>medzi podielovými fondmi sektora prispievali</w:t>
      </w:r>
      <w:r w:rsidR="00BF0E04" w:rsidRPr="00683075">
        <w:t xml:space="preserve"> </w:t>
      </w:r>
      <w:r w:rsidRPr="00683075">
        <w:t>pomerne výrazne</w:t>
      </w:r>
      <w:r w:rsidR="003E557A">
        <w:t xml:space="preserve"> k </w:t>
      </w:r>
      <w:r w:rsidRPr="00683075">
        <w:t>nárastu NAV,</w:t>
      </w:r>
      <w:r w:rsidR="003E557A">
        <w:t xml:space="preserve"> v </w:t>
      </w:r>
      <w:r w:rsidRPr="00683075">
        <w:t>doterajšom</w:t>
      </w:r>
      <w:r w:rsidR="00BF0E04" w:rsidRPr="00683075">
        <w:t xml:space="preserve"> </w:t>
      </w:r>
      <w:r w:rsidRPr="00683075">
        <w:t>priebehu roka 2013 bola týmto spôsobom generovaná</w:t>
      </w:r>
      <w:r w:rsidR="00BF0E04" w:rsidRPr="00683075">
        <w:t xml:space="preserve"> </w:t>
      </w:r>
      <w:r w:rsidRPr="00683075">
        <w:t>iba minimálna časť vykazovanej NAV.</w:t>
      </w:r>
      <w:r w:rsidR="003E557A">
        <w:t xml:space="preserve"> z </w:t>
      </w:r>
      <w:r w:rsidRPr="00683075">
        <w:t>hľadiska stavu</w:t>
      </w:r>
      <w:r w:rsidR="003E557A">
        <w:t xml:space="preserve"> k </w:t>
      </w:r>
      <w:r w:rsidRPr="00683075">
        <w:t>30. 6. 2013 by bola upravená</w:t>
      </w:r>
      <w:r w:rsidR="00BF0E04" w:rsidRPr="00683075">
        <w:t xml:space="preserve"> </w:t>
      </w:r>
      <w:r w:rsidRPr="00683075">
        <w:t>NAV, ktorá očisťuje o spomínané krížové investície,</w:t>
      </w:r>
      <w:r w:rsidR="00BF0E04" w:rsidRPr="00683075">
        <w:t xml:space="preserve"> </w:t>
      </w:r>
      <w:r w:rsidRPr="00683075">
        <w:t>približne o desatinu nižšia ako štandardná</w:t>
      </w:r>
      <w:r w:rsidR="00BF0E04" w:rsidRPr="00683075">
        <w:t xml:space="preserve"> </w:t>
      </w:r>
      <w:r w:rsidRPr="00683075">
        <w:t>miera NAV.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V rámci prvej polovice roka 2013 nebolo možné</w:t>
      </w:r>
      <w:r w:rsidR="00BF0E04" w:rsidRPr="00683075">
        <w:t xml:space="preserve"> </w:t>
      </w:r>
      <w:r w:rsidRPr="00683075">
        <w:t>pozorovať žiadny jednoznačný trend pokiaľ ide</w:t>
      </w:r>
      <w:r w:rsidR="00BF0E04" w:rsidRPr="00683075">
        <w:t xml:space="preserve"> </w:t>
      </w:r>
      <w:r w:rsidRPr="00683075">
        <w:t>o objemy prírastkov NAV</w:t>
      </w:r>
      <w:r w:rsidR="003E557A">
        <w:t xml:space="preserve"> v </w:t>
      </w:r>
      <w:r w:rsidRPr="00683075">
        <w:t>jednotlivých mesiacoch.</w:t>
      </w:r>
      <w:r w:rsidR="00BF0E04" w:rsidRPr="00683075">
        <w:t xml:space="preserve"> </w:t>
      </w:r>
      <w:r w:rsidRPr="00683075">
        <w:t xml:space="preserve">Tie boli pomerne </w:t>
      </w:r>
      <w:proofErr w:type="spellStart"/>
      <w:r w:rsidRPr="00683075">
        <w:t>volatilné</w:t>
      </w:r>
      <w:proofErr w:type="spellEnd"/>
      <w:r w:rsidRPr="00683075">
        <w:t>, ale na druhej</w:t>
      </w:r>
      <w:r w:rsidR="00BF0E04" w:rsidRPr="00683075">
        <w:t xml:space="preserve"> </w:t>
      </w:r>
      <w:r w:rsidRPr="00683075">
        <w:t>strane nepretržite kladné.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Rozhodujúca časť</w:t>
      </w:r>
      <w:r w:rsidR="003E557A">
        <w:t xml:space="preserve"> z </w:t>
      </w:r>
      <w:r w:rsidRPr="00683075">
        <w:t>absolútneho nárastu celkovej</w:t>
      </w:r>
      <w:r w:rsidR="00BF0E04" w:rsidRPr="00683075">
        <w:t xml:space="preserve"> </w:t>
      </w:r>
      <w:r w:rsidRPr="00683075">
        <w:t>NAV sa vzťahovala na tuzemské podielové fondy.</w:t>
      </w:r>
      <w:r w:rsidR="00BF0E04" w:rsidRPr="00683075">
        <w:t xml:space="preserve"> </w:t>
      </w:r>
      <w:r w:rsidRPr="00683075">
        <w:t>Zahraničné subjekty kolektívneho investovania</w:t>
      </w:r>
      <w:r w:rsidR="00BF0E04" w:rsidRPr="00683075">
        <w:t xml:space="preserve"> </w:t>
      </w:r>
    </w:p>
    <w:p w:rsidR="00EC7744" w:rsidRPr="00683075" w:rsidRDefault="00820B6E" w:rsidP="00683075">
      <w:r w:rsidRPr="00683075">
        <w:t>však zaostali aj</w:t>
      </w:r>
      <w:r w:rsidR="003E557A">
        <w:t xml:space="preserve"> z </w:t>
      </w:r>
      <w:r w:rsidRPr="00683075">
        <w:t>relatívneho hľadiska, keďže objem</w:t>
      </w:r>
      <w:r w:rsidR="00BF0E04" w:rsidRPr="00683075">
        <w:t xml:space="preserve"> </w:t>
      </w:r>
      <w:r w:rsidRPr="00683075">
        <w:t>NAV sa</w:t>
      </w:r>
      <w:r w:rsidR="003E557A">
        <w:t xml:space="preserve"> v </w:t>
      </w:r>
      <w:r w:rsidRPr="00683075">
        <w:t>nich zvýšil</w:t>
      </w:r>
      <w:r w:rsidR="003E557A">
        <w:t xml:space="preserve"> v </w:t>
      </w:r>
      <w:r w:rsidRPr="00683075">
        <w:t>prvom polroku 2013</w:t>
      </w:r>
      <w:r w:rsidR="00BF0E04" w:rsidRPr="00683075">
        <w:t xml:space="preserve"> </w:t>
      </w:r>
      <w:r w:rsidRPr="00683075">
        <w:t>o 5,6 %, čo bolo menej ako 8,1 %-</w:t>
      </w:r>
      <w:proofErr w:type="spellStart"/>
      <w:r w:rsidRPr="00683075">
        <w:t>né</w:t>
      </w:r>
      <w:proofErr w:type="spellEnd"/>
      <w:r w:rsidRPr="00683075">
        <w:t xml:space="preserve"> tempo tuzemských</w:t>
      </w:r>
      <w:r w:rsidR="00BF0E04" w:rsidRPr="00683075">
        <w:t xml:space="preserve"> </w:t>
      </w:r>
      <w:r w:rsidRPr="00683075">
        <w:t>podielových fondov. Tento jav je však</w:t>
      </w:r>
      <w:r w:rsidR="00BF0E04" w:rsidRPr="00683075">
        <w:t xml:space="preserve"> </w:t>
      </w:r>
      <w:r w:rsidRPr="00683075">
        <w:t>možné pozorovať už dlhodobejšie, zhruba od</w:t>
      </w:r>
      <w:r w:rsidR="00BF0E04" w:rsidRPr="00683075">
        <w:t xml:space="preserve"> </w:t>
      </w:r>
      <w:r w:rsidRPr="00683075">
        <w:t>druhej polovice roka 2011, čo má za následok,</w:t>
      </w:r>
      <w:r w:rsidR="00BF0E04" w:rsidRPr="00683075">
        <w:t xml:space="preserve"> </w:t>
      </w:r>
      <w:r w:rsidRPr="00683075">
        <w:t>že podiel zahraničných subjektov kolektívneho</w:t>
      </w:r>
      <w:r w:rsidR="00BF0E04" w:rsidRPr="00683075">
        <w:t xml:space="preserve"> </w:t>
      </w:r>
      <w:r w:rsidRPr="00683075">
        <w:t>investovania na slovenskom trhu síce pozvoľne,</w:t>
      </w:r>
      <w:r w:rsidR="00BF0E04" w:rsidRPr="00683075">
        <w:t xml:space="preserve"> </w:t>
      </w:r>
      <w:r w:rsidRPr="00683075">
        <w:t>ale nepretržite klesá.</w:t>
      </w:r>
    </w:p>
    <w:p w:rsidR="00EC7744" w:rsidRPr="00683075" w:rsidRDefault="00820B6E" w:rsidP="00683075">
      <w:r w:rsidRPr="00683075">
        <w:t>Päť tuzemských správcovských spoločností zaznamenalo</w:t>
      </w:r>
      <w:r w:rsidR="00BF0E04" w:rsidRPr="00683075">
        <w:t xml:space="preserve"> </w:t>
      </w:r>
      <w:r w:rsidRPr="00683075">
        <w:t>tempo nárastu objemu spravovaných</w:t>
      </w:r>
      <w:r w:rsidR="00BF0E04" w:rsidRPr="00683075">
        <w:t xml:space="preserve"> </w:t>
      </w:r>
      <w:r w:rsidRPr="00683075">
        <w:t>aktív vo svojich fondoch</w:t>
      </w:r>
      <w:r w:rsidR="003E557A">
        <w:t xml:space="preserve"> v </w:t>
      </w:r>
      <w:r w:rsidRPr="00683075">
        <w:t>rozsahu ± 4 p. b. okolo</w:t>
      </w:r>
      <w:r w:rsidR="00BF0E04" w:rsidRPr="00683075">
        <w:t xml:space="preserve"> </w:t>
      </w:r>
      <w:r w:rsidRPr="00683075">
        <w:t>sektorového priemeru. Výraznejšie sa</w:t>
      </w:r>
      <w:r w:rsidR="003E557A">
        <w:t xml:space="preserve"> v </w:t>
      </w:r>
      <w:r w:rsidRPr="00683075">
        <w:t>tomto</w:t>
      </w:r>
      <w:r w:rsidR="00BF0E04" w:rsidRPr="00683075">
        <w:t xml:space="preserve"> </w:t>
      </w:r>
      <w:r w:rsidRPr="00683075">
        <w:t>smere darilo jednej správcovskej spoločnosti,</w:t>
      </w:r>
      <w:r w:rsidR="00BF0E04" w:rsidRPr="00683075">
        <w:t xml:space="preserve"> </w:t>
      </w:r>
      <w:r w:rsidRPr="00683075">
        <w:t>ktorej podielové fondy</w:t>
      </w:r>
      <w:r w:rsidR="003E557A">
        <w:t xml:space="preserve"> v </w:t>
      </w:r>
      <w:r w:rsidRPr="00683075">
        <w:t>súčte objemovo vzrástli</w:t>
      </w:r>
      <w:r w:rsidR="00BF0E04" w:rsidRPr="00683075">
        <w:t xml:space="preserve"> </w:t>
      </w:r>
      <w:r w:rsidRPr="00683075">
        <w:t>o 33 %, čo už malo aj nezanedbateľný vplyv na</w:t>
      </w:r>
      <w:r w:rsidR="00BF0E04" w:rsidRPr="00683075">
        <w:t xml:space="preserve"> </w:t>
      </w:r>
      <w:r w:rsidRPr="00683075">
        <w:t>zvýšenie jej trhového podielu. Na prelome rokov</w:t>
      </w:r>
      <w:r w:rsidR="00BF0E04" w:rsidRPr="00683075">
        <w:t xml:space="preserve"> </w:t>
      </w:r>
      <w:r w:rsidRPr="00683075">
        <w:t>2012</w:t>
      </w:r>
      <w:r w:rsidR="003E557A">
        <w:t xml:space="preserve"> a </w:t>
      </w:r>
      <w:r w:rsidRPr="00683075">
        <w:t>2013 jedna tuzemská správcovská spoločnosť,</w:t>
      </w:r>
      <w:r w:rsidR="00BF0E04" w:rsidRPr="00683075">
        <w:t xml:space="preserve"> </w:t>
      </w:r>
      <w:r w:rsidRPr="00683075">
        <w:t>ktorá dlhodobo strácala svoj trhový podiel,</w:t>
      </w:r>
      <w:r w:rsidR="00BF0E04" w:rsidRPr="00683075">
        <w:t xml:space="preserve"> </w:t>
      </w:r>
      <w:r w:rsidRPr="00683075">
        <w:t>ukončila svoju činnosť</w:t>
      </w:r>
      <w:r w:rsidR="003E557A">
        <w:t xml:space="preserve"> a </w:t>
      </w:r>
      <w:r w:rsidRPr="00683075">
        <w:t>jej podielové fondy prešli</w:t>
      </w:r>
      <w:r w:rsidR="00BF0E04" w:rsidRPr="00683075">
        <w:t xml:space="preserve"> </w:t>
      </w:r>
      <w:r w:rsidRPr="00683075">
        <w:t>pod správu jej českej sesterskej správcovskej</w:t>
      </w:r>
      <w:r w:rsidR="00BF0E04" w:rsidRPr="00683075">
        <w:t xml:space="preserve"> </w:t>
      </w:r>
      <w:r w:rsidRPr="00683075">
        <w:t>spoločnosti. Tieto podielové fondy však aj</w:t>
      </w:r>
      <w:r w:rsidR="003E557A">
        <w:t xml:space="preserve"> v </w:t>
      </w:r>
      <w:r w:rsidRPr="00683075">
        <w:t>prvom</w:t>
      </w:r>
      <w:r w:rsidR="00BF0E04" w:rsidRPr="00683075">
        <w:t xml:space="preserve"> </w:t>
      </w:r>
      <w:r w:rsidRPr="00683075">
        <w:t>polroku vystupovali ako tuzemské, keďže</w:t>
      </w:r>
      <w:r w:rsidR="00BF0E04" w:rsidRPr="00683075">
        <w:t xml:space="preserve"> </w:t>
      </w:r>
      <w:r w:rsidRPr="00683075">
        <w:t>ich domicilom ostalo naďalej Slovensko.</w:t>
      </w:r>
    </w:p>
    <w:p w:rsidR="00820B6E" w:rsidRPr="00683075" w:rsidRDefault="00820B6E" w:rsidP="00683075">
      <w:r w:rsidRPr="00683075">
        <w:t>Počet tuzemských podielových fondov na Slovensku</w:t>
      </w:r>
      <w:r w:rsidR="00BF0E04" w:rsidRPr="00683075">
        <w:t xml:space="preserve"> </w:t>
      </w:r>
      <w:r w:rsidRPr="00683075">
        <w:t>bol</w:t>
      </w:r>
      <w:r w:rsidR="003E557A">
        <w:t xml:space="preserve"> k </w:t>
      </w:r>
      <w:r w:rsidRPr="00683075">
        <w:t>30. 6. 2013 na úrovni 85, čo je o štyri</w:t>
      </w:r>
      <w:r w:rsidR="00BF0E04" w:rsidRPr="00683075">
        <w:t xml:space="preserve"> </w:t>
      </w:r>
      <w:r w:rsidRPr="00683075">
        <w:t>viac ako ku koncu roka 2012. Táto zmena je výsledkom</w:t>
      </w:r>
      <w:r w:rsidR="00BF0E04" w:rsidRPr="00683075">
        <w:t xml:space="preserve"> </w:t>
      </w:r>
      <w:r w:rsidRPr="00683075">
        <w:t>zániku dvoch</w:t>
      </w:r>
      <w:r w:rsidR="003E557A">
        <w:t xml:space="preserve"> a </w:t>
      </w:r>
      <w:r w:rsidRPr="00683075">
        <w:t>vzniku šiestich nových</w:t>
      </w:r>
      <w:r w:rsidR="00BF0E04" w:rsidRPr="00683075">
        <w:t xml:space="preserve"> </w:t>
      </w:r>
      <w:r w:rsidRPr="00683075">
        <w:t xml:space="preserve">podielových fondov. Ťažisko prírastku </w:t>
      </w:r>
      <w:r w:rsidRPr="00683075">
        <w:lastRenderedPageBreak/>
        <w:t>podielových</w:t>
      </w:r>
      <w:r w:rsidR="00BF0E04" w:rsidRPr="00683075">
        <w:t xml:space="preserve"> </w:t>
      </w:r>
      <w:r w:rsidRPr="00683075">
        <w:t>fondov</w:t>
      </w:r>
      <w:r w:rsidR="003E557A">
        <w:t xml:space="preserve"> v </w:t>
      </w:r>
      <w:r w:rsidRPr="00683075">
        <w:t>počte štyri sa uskutočnilo</w:t>
      </w:r>
      <w:r w:rsidR="003E557A">
        <w:t xml:space="preserve"> v </w:t>
      </w:r>
      <w:r w:rsidRPr="00683075">
        <w:t>kategórii</w:t>
      </w:r>
      <w:r w:rsidR="00BF0E04" w:rsidRPr="00683075">
        <w:t xml:space="preserve"> </w:t>
      </w:r>
      <w:r w:rsidRPr="00683075">
        <w:t>špeciálnych podielových fondov profesionálnych</w:t>
      </w:r>
      <w:r w:rsidR="00BF0E04" w:rsidRPr="00683075">
        <w:t xml:space="preserve"> </w:t>
      </w:r>
      <w:r w:rsidRPr="00683075">
        <w:t>investorov.</w:t>
      </w:r>
      <w:r w:rsidR="00BF0E04" w:rsidRPr="00683075">
        <w:t xml:space="preserve"> </w:t>
      </w:r>
    </w:p>
    <w:p w:rsidR="00EC7744" w:rsidRPr="00683075" w:rsidRDefault="00820B6E" w:rsidP="00D77337">
      <w:pPr>
        <w:pStyle w:val="zvyraznene"/>
      </w:pPr>
      <w:r w:rsidRPr="00683075">
        <w:t>Pokračovanie vysokej čistej predajnosti</w:t>
      </w:r>
      <w:r w:rsidR="00BF0E04" w:rsidRPr="00683075">
        <w:t xml:space="preserve"> </w:t>
      </w:r>
      <w:r w:rsidRPr="00683075">
        <w:t>podielových listov špeciálnych podielových fondov;</w:t>
      </w:r>
      <w:r w:rsidR="00BF0E04" w:rsidRPr="00683075">
        <w:t xml:space="preserve"> </w:t>
      </w:r>
      <w:r w:rsidRPr="00683075">
        <w:t>stagnácia NAV</w:t>
      </w:r>
      <w:r w:rsidR="003E557A">
        <w:t xml:space="preserve"> v </w:t>
      </w:r>
      <w:r w:rsidRPr="00683075">
        <w:t>štandardných podielových</w:t>
      </w:r>
      <w:r w:rsidR="00BF0E04" w:rsidRPr="00683075">
        <w:t xml:space="preserve"> </w:t>
      </w:r>
      <w:r w:rsidRPr="00683075">
        <w:t>fondoch</w:t>
      </w:r>
    </w:p>
    <w:p w:rsidR="00EC7744" w:rsidRPr="00683075" w:rsidRDefault="00820B6E" w:rsidP="00683075">
      <w:r w:rsidRPr="00683075">
        <w:t>Vývoj NAV tuzemských podielových fondov</w:t>
      </w:r>
      <w:r w:rsidR="003E557A">
        <w:t xml:space="preserve"> v </w:t>
      </w:r>
      <w:r w:rsidRPr="00683075">
        <w:t>závislosti</w:t>
      </w:r>
      <w:r w:rsidR="00BF0E04" w:rsidRPr="00683075">
        <w:t xml:space="preserve"> </w:t>
      </w:r>
      <w:r w:rsidRPr="00683075">
        <w:t>od kategórie vykazoval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>2013 podobné črty ako</w:t>
      </w:r>
      <w:r w:rsidR="003E557A">
        <w:t xml:space="preserve"> v </w:t>
      </w:r>
      <w:r w:rsidRPr="00683075">
        <w:t>roku 2012.</w:t>
      </w:r>
      <w:r w:rsidR="003E557A">
        <w:t xml:space="preserve"> v </w:t>
      </w:r>
      <w:r w:rsidRPr="00683075">
        <w:t>podielových</w:t>
      </w:r>
      <w:r w:rsidR="00BF0E04" w:rsidRPr="00683075">
        <w:t xml:space="preserve"> </w:t>
      </w:r>
      <w:r w:rsidRPr="00683075">
        <w:t>fondoch peňažného trhu</w:t>
      </w:r>
      <w:r w:rsidR="003E557A">
        <w:t xml:space="preserve"> a </w:t>
      </w:r>
      <w:r w:rsidRPr="00683075">
        <w:t>podielových</w:t>
      </w:r>
      <w:r w:rsidR="00BF0E04" w:rsidRPr="00683075">
        <w:t xml:space="preserve"> </w:t>
      </w:r>
      <w:r w:rsidRPr="00683075">
        <w:t>fondoch krátkodobých investícií, ktoré tvoria</w:t>
      </w:r>
      <w:r w:rsidR="00BF0E04" w:rsidRPr="00683075">
        <w:t xml:space="preserve"> </w:t>
      </w:r>
      <w:r w:rsidRPr="00683075">
        <w:t>najkonzervatívnejšiu alternatívu pre investorov,</w:t>
      </w:r>
      <w:r w:rsidR="00BF0E04" w:rsidRPr="00683075">
        <w:t xml:space="preserve"> </w:t>
      </w:r>
      <w:r w:rsidRPr="00683075">
        <w:t>pokračoval dlhodobý trend poklesu objemu</w:t>
      </w:r>
      <w:r w:rsidR="00BF0E04" w:rsidRPr="00683075">
        <w:t xml:space="preserve"> </w:t>
      </w:r>
      <w:r w:rsidRPr="00683075">
        <w:t>spravovaných aktív. Kombinovaná NAV týchto</w:t>
      </w:r>
      <w:r w:rsidR="00BF0E04" w:rsidRPr="00683075">
        <w:t xml:space="preserve"> </w:t>
      </w:r>
      <w:r w:rsidRPr="00683075">
        <w:t>dvoch kategórií sa</w:t>
      </w:r>
      <w:r w:rsidR="003E557A">
        <w:t xml:space="preserve"> v </w:t>
      </w:r>
      <w:r w:rsidRPr="00683075">
        <w:t>sledovanom období znížila</w:t>
      </w:r>
      <w:r w:rsidR="00BF0E04" w:rsidRPr="00683075">
        <w:t xml:space="preserve"> </w:t>
      </w:r>
      <w:r w:rsidRPr="00683075">
        <w:t>o 6 %, avšak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rokom 2012 sa tempo</w:t>
      </w:r>
      <w:r w:rsidR="00BF0E04" w:rsidRPr="00683075">
        <w:t xml:space="preserve"> </w:t>
      </w:r>
      <w:r w:rsidRPr="00683075">
        <w:t>redukcie spomalilo zhruba na polovicu. Dôvod</w:t>
      </w:r>
      <w:r w:rsidR="00BF0E04" w:rsidRPr="00683075">
        <w:t xml:space="preserve"> </w:t>
      </w:r>
      <w:r w:rsidRPr="00683075">
        <w:t>úbytku NAV bol rovnaký ako</w:t>
      </w:r>
      <w:r w:rsidR="003E557A">
        <w:t xml:space="preserve"> v </w:t>
      </w:r>
      <w:r w:rsidRPr="00683075">
        <w:t xml:space="preserve">minulosti, teda </w:t>
      </w:r>
      <w:proofErr w:type="spellStart"/>
      <w:r w:rsidRPr="00683075">
        <w:t>redemácie</w:t>
      </w:r>
      <w:proofErr w:type="spellEnd"/>
      <w:r w:rsidR="00BF0E04" w:rsidRPr="00683075">
        <w:t xml:space="preserve"> </w:t>
      </w:r>
      <w:r w:rsidRPr="00683075">
        <w:t>zo strany sektora domácností.</w:t>
      </w:r>
    </w:p>
    <w:p w:rsidR="00EC7744" w:rsidRPr="00683075" w:rsidRDefault="00820B6E" w:rsidP="00683075">
      <w:r w:rsidRPr="00683075">
        <w:t>Jedinou ďalšou kategóriou podielových fondov,</w:t>
      </w:r>
      <w:r w:rsidR="00BF0E04" w:rsidRPr="00683075">
        <w:t xml:space="preserve"> </w:t>
      </w:r>
      <w:r w:rsidRPr="00683075">
        <w:t>ktorá ešte vykázala za prvý polrok 2013 zníženie</w:t>
      </w:r>
      <w:r w:rsidR="00BF0E04" w:rsidRPr="00683075">
        <w:t xml:space="preserve"> </w:t>
      </w:r>
      <w:r w:rsidRPr="00683075">
        <w:t>NAV, boli iné podielové fondy, kde sú zatrieďované</w:t>
      </w:r>
      <w:r w:rsidR="00BF0E04" w:rsidRPr="00683075">
        <w:t xml:space="preserve"> </w:t>
      </w:r>
      <w:r w:rsidRPr="00683075">
        <w:t>tzv. zaistené fondy. Relatívny pokles spravovaných</w:t>
      </w:r>
      <w:r w:rsidR="00BF0E04" w:rsidRPr="00683075">
        <w:t xml:space="preserve"> </w:t>
      </w:r>
      <w:r w:rsidRPr="00683075">
        <w:t>aktív</w:t>
      </w:r>
      <w:r w:rsidR="003E557A">
        <w:t xml:space="preserve"> v </w:t>
      </w:r>
      <w:r w:rsidRPr="00683075">
        <w:t>tomto prípade dosiahol až 31 %.</w:t>
      </w:r>
      <w:r w:rsidR="00BF0E04" w:rsidRPr="00683075">
        <w:t xml:space="preserve"> </w:t>
      </w:r>
      <w:r w:rsidRPr="00683075">
        <w:t>Aj pri tejto kategórii možno hovoriť o pretrvávajúcom</w:t>
      </w:r>
      <w:r w:rsidR="00BF0E04" w:rsidRPr="00683075">
        <w:t xml:space="preserve"> </w:t>
      </w:r>
      <w:r w:rsidRPr="00683075">
        <w:t>jave znižovania jej významu</w:t>
      </w:r>
      <w:r w:rsidR="003E557A">
        <w:t xml:space="preserve"> z </w:t>
      </w:r>
      <w:r w:rsidRPr="00683075">
        <w:t>hľadiska</w:t>
      </w:r>
      <w:r w:rsidR="00BF0E04" w:rsidRPr="00683075">
        <w:t xml:space="preserve"> </w:t>
      </w:r>
      <w:r w:rsidRPr="00683075">
        <w:t>tuzemského sektora.</w:t>
      </w:r>
    </w:p>
    <w:p w:rsidR="00EC7744" w:rsidRPr="00683075" w:rsidRDefault="00820B6E" w:rsidP="00683075">
      <w:r w:rsidRPr="00683075">
        <w:t>Najväčší absolútny</w:t>
      </w:r>
      <w:r w:rsidR="003E557A">
        <w:t xml:space="preserve"> a </w:t>
      </w:r>
      <w:r w:rsidRPr="00683075">
        <w:t>aj výrazne najvyšší relatívny</w:t>
      </w:r>
      <w:r w:rsidR="00BF0E04" w:rsidRPr="00683075">
        <w:t xml:space="preserve"> </w:t>
      </w:r>
      <w:r w:rsidRPr="00683075">
        <w:t>prírastok (+23 %) spravovaných aktív spomedzi</w:t>
      </w:r>
      <w:r w:rsidR="00BF0E04" w:rsidRPr="00683075">
        <w:t xml:space="preserve"> </w:t>
      </w:r>
      <w:r w:rsidRPr="00683075">
        <w:t>kategórií štandardných podielových fondov</w:t>
      </w:r>
      <w:r w:rsidR="00BF0E04" w:rsidRPr="00683075">
        <w:t xml:space="preserve"> </w:t>
      </w:r>
      <w:r w:rsidRPr="00683075">
        <w:t>sa</w:t>
      </w:r>
      <w:r w:rsidR="003E557A">
        <w:t xml:space="preserve"> v </w:t>
      </w:r>
      <w:r w:rsidRPr="00683075">
        <w:t>prvom polroku 2013 realizoval vo fondoch</w:t>
      </w:r>
      <w:r w:rsidR="00BF0E04" w:rsidRPr="00683075">
        <w:t xml:space="preserve"> </w:t>
      </w:r>
      <w:r w:rsidRPr="00683075">
        <w:t>fondov. Zvrátil sa tým negatívny trend vývoja</w:t>
      </w:r>
      <w:r w:rsidR="00BF0E04" w:rsidRPr="00683075">
        <w:t xml:space="preserve"> </w:t>
      </w:r>
      <w:r w:rsidRPr="00683075">
        <w:t>NAV</w:t>
      </w:r>
      <w:r w:rsidR="003E557A">
        <w:t xml:space="preserve"> a </w:t>
      </w:r>
      <w:proofErr w:type="spellStart"/>
      <w:r w:rsidRPr="00683075">
        <w:t>redemácií</w:t>
      </w:r>
      <w:proofErr w:type="spellEnd"/>
      <w:r w:rsidRPr="00683075">
        <w:t>, ktorý prevládal</w:t>
      </w:r>
      <w:r w:rsidR="003E557A">
        <w:t xml:space="preserve"> v </w:t>
      </w:r>
      <w:r w:rsidRPr="00683075">
        <w:t>tejto kategórii</w:t>
      </w:r>
      <w:r w:rsidR="00BF0E04" w:rsidRPr="00683075">
        <w:t xml:space="preserve"> </w:t>
      </w:r>
      <w:r w:rsidRPr="00683075">
        <w:t>prakticky nepretržite už dva predchádzajúce</w:t>
      </w:r>
      <w:r w:rsidR="00BF0E04" w:rsidRPr="00683075">
        <w:t xml:space="preserve"> </w:t>
      </w:r>
      <w:r w:rsidRPr="00683075">
        <w:t>roky. Impulzom pre oživenie bol vznik dvoch nových</w:t>
      </w:r>
      <w:r w:rsidR="00BF0E04" w:rsidRPr="00683075">
        <w:t xml:space="preserve"> </w:t>
      </w:r>
      <w:r w:rsidRPr="00683075">
        <w:t>podielových fondov, ktoré podnietili prílev</w:t>
      </w:r>
      <w:r w:rsidR="00BF0E04" w:rsidRPr="00683075">
        <w:t xml:space="preserve"> </w:t>
      </w:r>
      <w:r w:rsidRPr="00683075">
        <w:t>nových prostriedkov od podielnikov, primárne</w:t>
      </w:r>
      <w:r w:rsidR="00BF0E04" w:rsidRPr="00683075">
        <w:t xml:space="preserve"> </w:t>
      </w:r>
      <w:r w:rsidRPr="00683075">
        <w:t>od domácností. Naproti tomu však väčšina dlhodobo</w:t>
      </w:r>
      <w:r w:rsidR="00BF0E04" w:rsidRPr="00683075">
        <w:t xml:space="preserve"> </w:t>
      </w:r>
      <w:r w:rsidRPr="00683075">
        <w:t>existujúcich podielových fondov tejto</w:t>
      </w:r>
      <w:r w:rsidR="00BF0E04" w:rsidRPr="00683075">
        <w:t xml:space="preserve"> </w:t>
      </w:r>
      <w:r w:rsidRPr="00683075">
        <w:t>kategórie pokračovala</w:t>
      </w:r>
      <w:r w:rsidR="003E557A">
        <w:t xml:space="preserve"> v </w:t>
      </w:r>
      <w:r w:rsidRPr="00683075">
        <w:t>mierne zápornej čistej</w:t>
      </w:r>
      <w:r w:rsidR="00BF0E04" w:rsidRPr="00683075">
        <w:t xml:space="preserve"> </w:t>
      </w:r>
      <w:r w:rsidRPr="00683075">
        <w:t>predajnosti.</w:t>
      </w:r>
    </w:p>
    <w:p w:rsidR="00820B6E" w:rsidRPr="00683075" w:rsidRDefault="00820B6E" w:rsidP="00683075">
      <w:r w:rsidRPr="00683075">
        <w:t>Dlhopisové, akciové</w:t>
      </w:r>
      <w:r w:rsidR="003E557A">
        <w:t xml:space="preserve"> a </w:t>
      </w:r>
      <w:r w:rsidRPr="00683075">
        <w:t>zmiešané podielové fondy</w:t>
      </w:r>
      <w:r w:rsidR="00BF0E04" w:rsidRPr="00683075">
        <w:t xml:space="preserve"> </w:t>
      </w:r>
      <w:r w:rsidRPr="00683075">
        <w:t>zaznamenali</w:t>
      </w:r>
      <w:r w:rsidR="003E557A">
        <w:t xml:space="preserve"> v </w:t>
      </w:r>
      <w:r w:rsidRPr="00683075">
        <w:t>sledovanom období podobný nárast</w:t>
      </w:r>
      <w:r w:rsidR="00BF0E04" w:rsidRPr="00683075">
        <w:t xml:space="preserve"> </w:t>
      </w:r>
      <w:r w:rsidRPr="00683075">
        <w:t>NAV</w:t>
      </w:r>
      <w:r w:rsidR="003E557A">
        <w:t xml:space="preserve"> v </w:t>
      </w:r>
      <w:r w:rsidRPr="00683075">
        <w:t>rozmedzí 5</w:t>
      </w:r>
      <w:r w:rsidR="003E557A">
        <w:t xml:space="preserve"> % </w:t>
      </w:r>
      <w:r w:rsidRPr="00683075">
        <w:t>až 9 %.</w:t>
      </w:r>
      <w:r w:rsidR="003E557A">
        <w:t xml:space="preserve"> v </w:t>
      </w:r>
      <w:r w:rsidRPr="00683075">
        <w:t>dlhopisových</w:t>
      </w:r>
      <w:r w:rsidR="003E557A">
        <w:t xml:space="preserve"> a </w:t>
      </w:r>
      <w:r w:rsidRPr="00683075">
        <w:t>zmiešaných podielových fondoch to bolo výlučne</w:t>
      </w:r>
      <w:r w:rsidR="00BF0E04" w:rsidRPr="00683075">
        <w:t xml:space="preserve"> </w:t>
      </w:r>
      <w:r w:rsidRPr="00683075">
        <w:t>zásluhou kladných čistých predajov,</w:t>
      </w:r>
      <w:r w:rsidR="003E557A">
        <w:t xml:space="preserve"> v </w:t>
      </w:r>
      <w:r w:rsidRPr="00683075">
        <w:t>kategórii</w:t>
      </w:r>
      <w:r w:rsidR="00BF0E04" w:rsidRPr="00683075">
        <w:t xml:space="preserve"> </w:t>
      </w:r>
      <w:r w:rsidRPr="00683075">
        <w:t>akciových podielových fondov zohralo</w:t>
      </w:r>
      <w:r w:rsidR="00BF0E04" w:rsidRPr="00683075">
        <w:t xml:space="preserve"> </w:t>
      </w:r>
      <w:r w:rsidRPr="00683075">
        <w:t>významnejšiu úlohu ako prítok nových prostriedkov</w:t>
      </w:r>
      <w:r w:rsidR="00BF0E04" w:rsidRPr="00683075">
        <w:t xml:space="preserve"> </w:t>
      </w:r>
      <w:r w:rsidRPr="00683075">
        <w:t>zhodnotenie aktív. Kladná štatistika čistých</w:t>
      </w:r>
      <w:r w:rsidR="00BF0E04" w:rsidRPr="00683075">
        <w:t xml:space="preserve"> </w:t>
      </w:r>
      <w:r w:rsidRPr="00683075">
        <w:t>predajov za kategóriu dlhopisových podielových</w:t>
      </w:r>
      <w:r w:rsidR="00BF0E04" w:rsidRPr="00683075">
        <w:t xml:space="preserve"> </w:t>
      </w:r>
      <w:r w:rsidRPr="00683075">
        <w:t>fondov bola prakticky celá záležitosťou iba jedného</w:t>
      </w:r>
      <w:r w:rsidR="00BF0E04" w:rsidRPr="00683075">
        <w:t xml:space="preserve"> </w:t>
      </w:r>
      <w:r w:rsidRPr="00683075">
        <w:t>podielového fondu, investície do ktorého</w:t>
      </w:r>
      <w:r w:rsidR="00BF0E04" w:rsidRPr="00683075">
        <w:t xml:space="preserve"> </w:t>
      </w:r>
      <w:r w:rsidRPr="00683075">
        <w:t>zvyšovali popri domácnostiach</w:t>
      </w:r>
      <w:r w:rsidR="003E557A">
        <w:t xml:space="preserve"> v </w:t>
      </w:r>
      <w:r w:rsidRPr="00683075">
        <w:t>menšej miere</w:t>
      </w:r>
      <w:r w:rsidR="00BF0E04" w:rsidRPr="00683075">
        <w:t xml:space="preserve"> </w:t>
      </w:r>
      <w:r w:rsidRPr="00683075">
        <w:t>aj iné podielové fondy sektora.</w:t>
      </w:r>
      <w:r w:rsidR="003E557A">
        <w:t xml:space="preserve"> v </w:t>
      </w:r>
      <w:r w:rsidRPr="00683075">
        <w:t>kategórii zmiešaných</w:t>
      </w:r>
      <w:r w:rsidR="00BF0E04" w:rsidRPr="00683075">
        <w:t xml:space="preserve"> </w:t>
      </w:r>
      <w:r w:rsidRPr="00683075">
        <w:t>podielových fondov bol dopyt o niečo</w:t>
      </w:r>
      <w:r w:rsidR="00BF0E04" w:rsidRPr="00683075">
        <w:t xml:space="preserve"> </w:t>
      </w:r>
      <w:r w:rsidRPr="00683075">
        <w:t>plošnejšie rozdelený na viaceré podielové fondy.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V súčte všetkých doteraz diskutovaných štandardných</w:t>
      </w:r>
      <w:r w:rsidR="00BF0E04" w:rsidRPr="00683075">
        <w:t xml:space="preserve"> </w:t>
      </w:r>
      <w:r w:rsidRPr="00683075">
        <w:t>podielových fondov predstavoval prírastok</w:t>
      </w:r>
      <w:r w:rsidR="00BF0E04" w:rsidRPr="00683075">
        <w:t xml:space="preserve"> </w:t>
      </w:r>
      <w:r w:rsidRPr="00683075">
        <w:t>NAV</w:t>
      </w:r>
      <w:r w:rsidR="003E557A">
        <w:t xml:space="preserve"> z </w:t>
      </w:r>
      <w:r w:rsidRPr="00683075">
        <w:t>prvého polroka 2013 iba minimálnu hodnotu</w:t>
      </w:r>
      <w:r w:rsidR="00BF0E04" w:rsidRPr="00683075">
        <w:t xml:space="preserve"> </w:t>
      </w:r>
      <w:r w:rsidRPr="00683075">
        <w:t xml:space="preserve">5 mil. €, pri </w:t>
      </w:r>
      <w:proofErr w:type="spellStart"/>
      <w:r w:rsidRPr="00683075">
        <w:t>de-facto</w:t>
      </w:r>
      <w:proofErr w:type="spellEnd"/>
      <w:r w:rsidRPr="00683075">
        <w:t xml:space="preserve"> nulovej bilancii nákupov</w:t>
      </w:r>
      <w:r w:rsidR="003E557A">
        <w:t xml:space="preserve"> a </w:t>
      </w:r>
      <w:r w:rsidRPr="00683075">
        <w:t>odpredajov podielových listov. Hlavná dynamika</w:t>
      </w:r>
      <w:r w:rsidR="00BF0E04" w:rsidRPr="00683075">
        <w:t xml:space="preserve"> </w:t>
      </w:r>
      <w:r w:rsidRPr="00683075">
        <w:t>tuzemského sektora spočívala, tak ako už</w:t>
      </w:r>
      <w:r w:rsidR="003E557A">
        <w:t xml:space="preserve"> v </w:t>
      </w:r>
      <w:r w:rsidRPr="00683075">
        <w:t>predošlom</w:t>
      </w:r>
      <w:r w:rsidR="00BF0E04" w:rsidRPr="00683075">
        <w:t xml:space="preserve"> </w:t>
      </w:r>
      <w:r w:rsidRPr="00683075">
        <w:t>roku, na špeciálnych podielových fondoch.</w:t>
      </w:r>
      <w:r w:rsidR="003E557A">
        <w:t xml:space="preserve"> v </w:t>
      </w:r>
      <w:r w:rsidRPr="00683075">
        <w:t>rámci nich to boli najmä špeciálne fondy profesionálnych</w:t>
      </w:r>
      <w:r w:rsidR="00BF0E04" w:rsidRPr="00683075">
        <w:t xml:space="preserve"> </w:t>
      </w:r>
      <w:r w:rsidRPr="00683075">
        <w:t>investorov, ktoré zabezpečili takmer</w:t>
      </w:r>
      <w:r w:rsidR="00BF0E04" w:rsidRPr="00683075">
        <w:t xml:space="preserve"> </w:t>
      </w:r>
      <w:r w:rsidRPr="00683075">
        <w:t xml:space="preserve">polovicu celkového </w:t>
      </w:r>
      <w:r w:rsidRPr="00683075">
        <w:lastRenderedPageBreak/>
        <w:t>nárastu NAV tuzemskej časti</w:t>
      </w:r>
      <w:r w:rsidR="00BF0E04" w:rsidRPr="00683075">
        <w:t xml:space="preserve"> </w:t>
      </w:r>
      <w:r w:rsidRPr="00683075">
        <w:t>sektora.</w:t>
      </w:r>
      <w:r w:rsidR="003E557A">
        <w:t xml:space="preserve"> v </w:t>
      </w:r>
      <w:r w:rsidRPr="00683075">
        <w:t>priebehu prvých šiestich mesiacov roka</w:t>
      </w:r>
      <w:r w:rsidR="00BF0E04" w:rsidRPr="00683075">
        <w:t xml:space="preserve"> </w:t>
      </w:r>
      <w:r w:rsidRPr="00683075">
        <w:t>2013 sa teda NAV tejto kategórie rozšírila o 71 %,</w:t>
      </w:r>
      <w:r w:rsidR="00BF0E04" w:rsidRPr="00683075">
        <w:t xml:space="preserve"> </w:t>
      </w:r>
      <w:r w:rsidRPr="00683075">
        <w:t>pričom prostriedky, ktoré sem</w:t>
      </w:r>
      <w:r w:rsidR="003E557A">
        <w:t xml:space="preserve"> v </w:t>
      </w:r>
      <w:r w:rsidRPr="00683075">
        <w:t>sledovanom období</w:t>
      </w:r>
      <w:r w:rsidR="00BF0E04" w:rsidRPr="00683075">
        <w:t xml:space="preserve"> </w:t>
      </w:r>
      <w:r w:rsidRPr="00683075">
        <w:t>smerovali, končili takmer výlučne</w:t>
      </w:r>
      <w:r w:rsidR="003E557A">
        <w:t xml:space="preserve"> v </w:t>
      </w:r>
      <w:r w:rsidRPr="00683075">
        <w:t>jednom</w:t>
      </w:r>
      <w:r w:rsidR="00BF0E04" w:rsidRPr="00683075">
        <w:t xml:space="preserve"> </w:t>
      </w:r>
      <w:r w:rsidRPr="00683075">
        <w:t>zo štyroch novovzniknutých fondov. Najväčšiu</w:t>
      </w:r>
      <w:r w:rsidR="00BF0E04" w:rsidRPr="00683075">
        <w:t xml:space="preserve"> </w:t>
      </w:r>
      <w:r w:rsidRPr="00683075">
        <w:t>časť nových investorov do podielových listov</w:t>
      </w:r>
      <w:r w:rsidR="003E557A">
        <w:t xml:space="preserve"> v </w:t>
      </w:r>
      <w:r w:rsidRPr="00683075">
        <w:t>tejto kategórii tvorili banky.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O ďalších zhruba 80 mil. €, resp. 16 %, vzrástol</w:t>
      </w:r>
      <w:r w:rsidR="00BF0E04" w:rsidRPr="00683075">
        <w:t xml:space="preserve"> </w:t>
      </w:r>
      <w:r w:rsidRPr="00683075">
        <w:t>objem aktív špeciálnych podielových fondov nehnuteľností. Táto kategória tak aj</w:t>
      </w:r>
      <w:r w:rsidR="003E557A">
        <w:t xml:space="preserve"> v </w:t>
      </w:r>
      <w:r w:rsidRPr="00683075">
        <w:t>prvom polroku</w:t>
      </w:r>
      <w:r w:rsidR="00BF0E04" w:rsidRPr="00683075">
        <w:t xml:space="preserve"> </w:t>
      </w:r>
      <w:r w:rsidRPr="00683075">
        <w:t>2013 pokračovala vo vysokej dynamike, ktorá</w:t>
      </w:r>
      <w:r w:rsidR="00BF0E04" w:rsidRPr="00683075">
        <w:t xml:space="preserve"> </w:t>
      </w:r>
      <w:r w:rsidRPr="00683075">
        <w:t>ju charakterizovala</w:t>
      </w:r>
      <w:r w:rsidR="003E557A">
        <w:t xml:space="preserve"> v </w:t>
      </w:r>
      <w:r w:rsidRPr="00683075">
        <w:t>posledných rokoch, čím došlo</w:t>
      </w:r>
      <w:r w:rsidR="003E557A">
        <w:t xml:space="preserve"> k </w:t>
      </w:r>
      <w:r w:rsidRPr="00683075">
        <w:t>upevneniu jej pozície ako už tretej najväčšej</w:t>
      </w:r>
      <w:r w:rsidR="00BF0E04" w:rsidRPr="00683075">
        <w:t xml:space="preserve"> </w:t>
      </w:r>
      <w:r w:rsidRPr="00683075">
        <w:t>kategórie podľa NAV.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Iba o niečo menší absolútny prírastok NAV ako špeciálne</w:t>
      </w:r>
      <w:r w:rsidR="00BF0E04" w:rsidRPr="00683075">
        <w:t xml:space="preserve"> </w:t>
      </w:r>
      <w:r w:rsidRPr="00683075">
        <w:t>podielové fondy nehnuteľností zaznamenali</w:t>
      </w:r>
      <w:r w:rsidR="00BF0E04" w:rsidRPr="00683075">
        <w:t xml:space="preserve"> </w:t>
      </w:r>
      <w:r w:rsidRPr="00683075">
        <w:t>agregovane špeciálne podielové fondy cenných</w:t>
      </w:r>
      <w:r w:rsidR="00BF0E04" w:rsidRPr="00683075">
        <w:t xml:space="preserve"> </w:t>
      </w:r>
      <w:r w:rsidRPr="00683075">
        <w:t>papierov. Oproti rádovo pol miliardovému prílevu</w:t>
      </w:r>
      <w:r w:rsidR="00BF0E04" w:rsidRPr="00683075">
        <w:t xml:space="preserve"> </w:t>
      </w:r>
      <w:r w:rsidRPr="00683075">
        <w:t>prostriedkov</w:t>
      </w:r>
      <w:r w:rsidR="003E557A">
        <w:t xml:space="preserve"> v </w:t>
      </w:r>
      <w:r w:rsidRPr="00683075">
        <w:t>roku 2012 však možno konštatovať</w:t>
      </w:r>
      <w:r w:rsidR="00BF0E04" w:rsidRPr="00683075">
        <w:t xml:space="preserve"> </w:t>
      </w:r>
      <w:r w:rsidRPr="00683075">
        <w:t>výrazné spomalenie čistých predajov.</w:t>
      </w:r>
      <w:r w:rsidR="00BF0E04" w:rsidRPr="00683075">
        <w:t xml:space="preserve"> </w:t>
      </w:r>
    </w:p>
    <w:p w:rsidR="00820B6E" w:rsidRPr="00683075" w:rsidRDefault="00820B6E" w:rsidP="00683075">
      <w:r w:rsidRPr="00683075">
        <w:t>Napriek 15 %-</w:t>
      </w:r>
      <w:proofErr w:type="spellStart"/>
      <w:r w:rsidRPr="00683075">
        <w:t>nému</w:t>
      </w:r>
      <w:proofErr w:type="spellEnd"/>
      <w:r w:rsidRPr="00683075">
        <w:t xml:space="preserve"> rastu zostali špeciálne podielové</w:t>
      </w:r>
      <w:r w:rsidR="00BF0E04" w:rsidRPr="00683075">
        <w:t xml:space="preserve"> </w:t>
      </w:r>
      <w:r w:rsidRPr="00683075">
        <w:t>fondy alternatívnych investícií výrazne</w:t>
      </w:r>
      <w:r w:rsidR="00BF0E04" w:rsidRPr="00683075">
        <w:t xml:space="preserve"> </w:t>
      </w:r>
      <w:r w:rsidRPr="00683075">
        <w:t>najmenšou kategóriu sektora.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V rámci zahraničných podielových fondov distribuovaných</w:t>
      </w:r>
      <w:r w:rsidR="00BF0E04" w:rsidRPr="00683075">
        <w:t xml:space="preserve"> </w:t>
      </w:r>
      <w:r w:rsidRPr="00683075">
        <w:t>na Slovensku bola prevažná časť ich celkového</w:t>
      </w:r>
      <w:r w:rsidR="00BF0E04" w:rsidRPr="00683075">
        <w:t xml:space="preserve"> </w:t>
      </w:r>
      <w:r w:rsidRPr="00683075">
        <w:t>zvýšenia NAV</w:t>
      </w:r>
      <w:r w:rsidR="003E557A">
        <w:t xml:space="preserve"> v </w:t>
      </w:r>
      <w:r w:rsidRPr="00683075">
        <w:t>sledovanom období rozdelená</w:t>
      </w:r>
      <w:r w:rsidR="00BF0E04" w:rsidRPr="00683075">
        <w:t xml:space="preserve"> </w:t>
      </w:r>
      <w:r w:rsidRPr="00683075">
        <w:t>rovnomerne medzi podielové fondy peňažného</w:t>
      </w:r>
      <w:r w:rsidR="00BF0E04" w:rsidRPr="00683075">
        <w:t xml:space="preserve"> </w:t>
      </w:r>
      <w:r w:rsidRPr="00683075">
        <w:t>charakteru (peňažné fondy</w:t>
      </w:r>
      <w:r w:rsidR="003E557A">
        <w:t xml:space="preserve"> a </w:t>
      </w:r>
      <w:r w:rsidRPr="00683075">
        <w:t>fondy krátkodobých</w:t>
      </w:r>
      <w:r w:rsidR="00BF0E04" w:rsidRPr="00683075">
        <w:t xml:space="preserve"> </w:t>
      </w:r>
      <w:r w:rsidRPr="00683075">
        <w:t>investícií), zmiešané fondy</w:t>
      </w:r>
      <w:r w:rsidR="003E557A">
        <w:t xml:space="preserve"> a </w:t>
      </w:r>
      <w:r w:rsidRPr="00683075">
        <w:t>kategóriu iných fondov.</w:t>
      </w:r>
      <w:r w:rsidR="003E557A">
        <w:t xml:space="preserve"> v </w:t>
      </w:r>
      <w:r w:rsidRPr="00683075">
        <w:t>menšej miere sa zvýšil aj objem spravovaných</w:t>
      </w:r>
      <w:r w:rsidR="00BF0E04" w:rsidRPr="00683075">
        <w:t xml:space="preserve"> </w:t>
      </w:r>
      <w:r w:rsidRPr="00683075">
        <w:t>aktív dlhopisových fondov. Zahraničné akciové</w:t>
      </w:r>
      <w:r w:rsidR="00BF0E04" w:rsidRPr="00683075">
        <w:t xml:space="preserve"> </w:t>
      </w:r>
      <w:r w:rsidRPr="00683075">
        <w:t>podielové fondy</w:t>
      </w:r>
      <w:r w:rsidR="003E557A">
        <w:t xml:space="preserve"> a </w:t>
      </w:r>
      <w:r w:rsidRPr="00683075">
        <w:t>fondy fondov zaznamenali</w:t>
      </w:r>
      <w:r w:rsidR="00BF0E04" w:rsidRPr="00683075">
        <w:t xml:space="preserve"> </w:t>
      </w:r>
      <w:r w:rsidRPr="00683075">
        <w:t>mierny pokles NAV nepresahujúci jedno percento.</w:t>
      </w:r>
    </w:p>
    <w:p w:rsidR="00EC7744" w:rsidRPr="00683075" w:rsidRDefault="00820B6E" w:rsidP="00683075">
      <w:r w:rsidRPr="00683075">
        <w:t>Všetky kategórie štandardných podielových fondov</w:t>
      </w:r>
      <w:r w:rsidR="003E557A">
        <w:t xml:space="preserve"> s </w:t>
      </w:r>
      <w:r w:rsidRPr="00683075">
        <w:t>výnimkou jednej (iné fondy)</w:t>
      </w:r>
      <w:r w:rsidR="003E557A">
        <w:t xml:space="preserve"> a </w:t>
      </w:r>
      <w:r w:rsidRPr="00683075">
        <w:t>tiež špeciálne</w:t>
      </w:r>
      <w:r w:rsidR="00BF0E04" w:rsidRPr="00683075">
        <w:t xml:space="preserve"> </w:t>
      </w:r>
      <w:r w:rsidRPr="00683075">
        <w:t>podielové fondy nehnuteľností mali spoločnú</w:t>
      </w:r>
      <w:r w:rsidR="00BF0E04" w:rsidRPr="00683075">
        <w:t xml:space="preserve"> </w:t>
      </w:r>
      <w:r w:rsidRPr="00683075">
        <w:t>jednu zmenu</w:t>
      </w:r>
      <w:r w:rsidR="003E557A">
        <w:t xml:space="preserve"> v </w:t>
      </w:r>
      <w:r w:rsidRPr="00683075">
        <w:t>štruktúre investičného portfólia.</w:t>
      </w:r>
      <w:r w:rsidR="00BF0E04" w:rsidRPr="00683075">
        <w:t xml:space="preserve"> </w:t>
      </w:r>
      <w:r w:rsidRPr="00683075">
        <w:t>Tou bol nárast podielu vkladov na účtoch</w:t>
      </w:r>
      <w:r w:rsidR="003E557A">
        <w:t xml:space="preserve"> v </w:t>
      </w:r>
      <w:r w:rsidRPr="00683075">
        <w:t>bankách</w:t>
      </w:r>
      <w:r w:rsidR="003E557A">
        <w:t xml:space="preserve"> v </w:t>
      </w:r>
      <w:r w:rsidRPr="00683075">
        <w:t>rozsahu niekoľkých percentuálnych bodov.</w:t>
      </w:r>
      <w:r w:rsidR="003E557A">
        <w:t xml:space="preserve"> k </w:t>
      </w:r>
      <w:r w:rsidRPr="00683075">
        <w:t xml:space="preserve">iným </w:t>
      </w:r>
      <w:proofErr w:type="spellStart"/>
      <w:r w:rsidRPr="00683075">
        <w:t>signifikantnejším</w:t>
      </w:r>
      <w:proofErr w:type="spellEnd"/>
      <w:r w:rsidRPr="00683075">
        <w:t xml:space="preserve"> zmenám</w:t>
      </w:r>
      <w:r w:rsidR="003E557A">
        <w:t xml:space="preserve"> v </w:t>
      </w:r>
      <w:r w:rsidRPr="00683075">
        <w:t>základnej</w:t>
      </w:r>
      <w:r w:rsidR="00BF0E04" w:rsidRPr="00683075">
        <w:t xml:space="preserve"> </w:t>
      </w:r>
      <w:r w:rsidRPr="00683075">
        <w:t>skladbe portfólií</w:t>
      </w:r>
      <w:r w:rsidR="003E557A">
        <w:t xml:space="preserve"> v </w:t>
      </w:r>
      <w:r w:rsidRPr="00683075">
        <w:t>príslušných kategóriách</w:t>
      </w:r>
      <w:r w:rsidR="00BF0E04" w:rsidRPr="00683075">
        <w:t xml:space="preserve"> </w:t>
      </w:r>
      <w:r w:rsidRPr="00683075">
        <w:t>nedošlo.</w:t>
      </w:r>
    </w:p>
    <w:p w:rsidR="00EC7744" w:rsidRPr="00683075" w:rsidRDefault="00820B6E" w:rsidP="00D77337">
      <w:pPr>
        <w:pStyle w:val="zvyraznene"/>
      </w:pPr>
      <w:r w:rsidRPr="00683075">
        <w:t>Kladná medziročná výkonnosť všetkých kategórií</w:t>
      </w:r>
      <w:r w:rsidR="00BF0E04" w:rsidRPr="00683075">
        <w:t xml:space="preserve"> </w:t>
      </w:r>
      <w:r w:rsidRPr="00683075">
        <w:t>podielových fondov</w:t>
      </w:r>
      <w:r w:rsidR="003E557A">
        <w:t xml:space="preserve"> k </w:t>
      </w:r>
      <w:r w:rsidRPr="00683075">
        <w:t>30. 6. 2013 sa odvíjala</w:t>
      </w:r>
      <w:r w:rsidR="00BF0E04" w:rsidRPr="00683075">
        <w:t xml:space="preserve"> </w:t>
      </w:r>
      <w:r w:rsidRPr="00683075">
        <w:t>najmä od priaznivého trhového vývoja ešte</w:t>
      </w:r>
      <w:r w:rsidR="003E557A">
        <w:t xml:space="preserve"> v </w:t>
      </w:r>
      <w:r w:rsidRPr="00683075">
        <w:t>druhom polroku 2012</w:t>
      </w:r>
    </w:p>
    <w:p w:rsidR="00820B6E" w:rsidRPr="00683075" w:rsidRDefault="00820B6E" w:rsidP="00683075">
      <w:r w:rsidRPr="00683075">
        <w:t>S výnimkou dvoch kategórií sa priemerná nominálna</w:t>
      </w:r>
      <w:r w:rsidR="00BF0E04" w:rsidRPr="00683075">
        <w:t xml:space="preserve"> </w:t>
      </w:r>
      <w:r w:rsidRPr="00683075">
        <w:t>výkonnosť všetkých ostatných kategórií</w:t>
      </w:r>
      <w:r w:rsidR="00BF0E04" w:rsidRPr="00683075">
        <w:t xml:space="preserve"> </w:t>
      </w:r>
      <w:r w:rsidRPr="00683075">
        <w:t>(kombinovane za tuzemské aj zahraničné) za</w:t>
      </w:r>
      <w:r w:rsidR="00BF0E04" w:rsidRPr="00683075">
        <w:t xml:space="preserve"> </w:t>
      </w:r>
      <w:r w:rsidRPr="00683075">
        <w:t>prvý polrok 2013 nachádzala</w:t>
      </w:r>
      <w:r w:rsidR="003E557A">
        <w:t xml:space="preserve"> v </w:t>
      </w:r>
      <w:r w:rsidRPr="00683075">
        <w:t xml:space="preserve">úzkom pásme </w:t>
      </w:r>
    </w:p>
    <w:p w:rsidR="00820B6E" w:rsidRPr="00683075" w:rsidRDefault="00820B6E" w:rsidP="00683075">
      <w:r w:rsidRPr="00683075">
        <w:t>od -1,1</w:t>
      </w:r>
      <w:r w:rsidR="003E557A">
        <w:t xml:space="preserve"> % </w:t>
      </w:r>
      <w:r w:rsidRPr="00683075">
        <w:t>do 0,4 %. Relatívne vyššie nominálne</w:t>
      </w:r>
      <w:r w:rsidR="00BF0E04" w:rsidRPr="00683075">
        <w:t xml:space="preserve"> </w:t>
      </w:r>
      <w:r w:rsidRPr="00683075">
        <w:t>zhodnotenie</w:t>
      </w:r>
      <w:r w:rsidR="003E557A">
        <w:t xml:space="preserve"> v </w:t>
      </w:r>
      <w:r w:rsidRPr="00683075">
        <w:t>tomto období dosiahli iba akciové</w:t>
      </w:r>
      <w:r w:rsidR="00BF0E04" w:rsidRPr="00683075">
        <w:t xml:space="preserve"> </w:t>
      </w:r>
      <w:r w:rsidRPr="00683075">
        <w:t>fondy (2,5 %)</w:t>
      </w:r>
      <w:r w:rsidR="003E557A">
        <w:t xml:space="preserve"> a </w:t>
      </w:r>
      <w:r w:rsidRPr="00683075">
        <w:t>špeciálne fondy nehnuteľností</w:t>
      </w:r>
      <w:r w:rsidR="00BF0E04" w:rsidRPr="00683075">
        <w:t xml:space="preserve"> </w:t>
      </w:r>
      <w:r w:rsidRPr="00683075">
        <w:t>(1,7 %).</w:t>
      </w:r>
      <w:r w:rsidR="00BF0E04" w:rsidRPr="00683075">
        <w:t xml:space="preserve"> </w:t>
      </w:r>
    </w:p>
    <w:p w:rsidR="00EC7744" w:rsidRPr="00683075" w:rsidRDefault="00820B6E" w:rsidP="00683075">
      <w:r w:rsidRPr="00683075">
        <w:t>Tak ako aj pri fondoch</w:t>
      </w:r>
      <w:r w:rsidR="003E557A">
        <w:t xml:space="preserve"> v </w:t>
      </w:r>
      <w:r w:rsidRPr="00683075">
        <w:t>oboch pilieroch dôchodkového</w:t>
      </w:r>
      <w:r w:rsidR="00BF0E04" w:rsidRPr="00683075">
        <w:t xml:space="preserve"> </w:t>
      </w:r>
      <w:r w:rsidRPr="00683075">
        <w:t>sporenia, medziročná výkonnosť podielových</w:t>
      </w:r>
      <w:r w:rsidR="00BF0E04" w:rsidRPr="00683075">
        <w:t xml:space="preserve"> </w:t>
      </w:r>
      <w:r w:rsidRPr="00683075">
        <w:t>fondov vypočítaná</w:t>
      </w:r>
      <w:r w:rsidR="003E557A">
        <w:t xml:space="preserve"> k </w:t>
      </w:r>
      <w:r w:rsidRPr="00683075">
        <w:t>30. 6. 2013 bola pozitívne</w:t>
      </w:r>
      <w:r w:rsidR="00BF0E04" w:rsidRPr="00683075">
        <w:t xml:space="preserve"> </w:t>
      </w:r>
      <w:r w:rsidRPr="00683075">
        <w:t>ovplyvnená rastom cien aktív ešte počas</w:t>
      </w:r>
      <w:r w:rsidR="00BF0E04" w:rsidRPr="00683075">
        <w:t xml:space="preserve"> </w:t>
      </w:r>
      <w:r w:rsidRPr="00683075">
        <w:t>druhého polroka 2012. Okrem špeciálnych podielových</w:t>
      </w:r>
      <w:r w:rsidR="00BF0E04" w:rsidRPr="00683075">
        <w:t xml:space="preserve"> </w:t>
      </w:r>
      <w:r w:rsidRPr="00683075">
        <w:t>fondov alternatívnych investícií všetky</w:t>
      </w:r>
      <w:r w:rsidR="00BF0E04" w:rsidRPr="00683075">
        <w:t xml:space="preserve"> </w:t>
      </w:r>
      <w:r w:rsidRPr="00683075">
        <w:t>ostatné kategórie vykázali</w:t>
      </w:r>
      <w:r w:rsidR="003E557A">
        <w:t xml:space="preserve"> v </w:t>
      </w:r>
      <w:r w:rsidRPr="00683075">
        <w:t>priemere kladný</w:t>
      </w:r>
      <w:r w:rsidR="00BF0E04" w:rsidRPr="00683075">
        <w:t xml:space="preserve"> </w:t>
      </w:r>
      <w:r w:rsidRPr="00683075">
        <w:t>medziročný výnos. Najvyššie nominálne zhodnotenie</w:t>
      </w:r>
      <w:r w:rsidR="00BF0E04" w:rsidRPr="00683075">
        <w:t xml:space="preserve"> </w:t>
      </w:r>
      <w:r w:rsidRPr="00683075">
        <w:t xml:space="preserve">vo </w:t>
      </w:r>
      <w:r w:rsidRPr="00683075">
        <w:lastRenderedPageBreak/>
        <w:t>výške až 11</w:t>
      </w:r>
      <w:r w:rsidR="003E557A">
        <w:t xml:space="preserve"> % </w:t>
      </w:r>
      <w:r w:rsidRPr="00683075">
        <w:t>sa podarilo dosiahnuť</w:t>
      </w:r>
      <w:r w:rsidR="003E557A">
        <w:t xml:space="preserve"> v </w:t>
      </w:r>
      <w:r w:rsidRPr="00683075">
        <w:t>akciových fondoch. Za nimi</w:t>
      </w:r>
      <w:r w:rsidR="003E557A">
        <w:t xml:space="preserve"> s </w:t>
      </w:r>
      <w:r w:rsidRPr="00683075">
        <w:t>výkonnosťou</w:t>
      </w:r>
      <w:r w:rsidR="003E557A">
        <w:t xml:space="preserve"> v </w:t>
      </w:r>
      <w:r w:rsidRPr="00683075">
        <w:t>rozmedzí 4</w:t>
      </w:r>
      <w:r w:rsidR="003E557A">
        <w:t xml:space="preserve"> % </w:t>
      </w:r>
      <w:r w:rsidRPr="00683075">
        <w:t>až 4,7</w:t>
      </w:r>
      <w:r w:rsidR="003E557A">
        <w:t xml:space="preserve"> % </w:t>
      </w:r>
      <w:r w:rsidRPr="00683075">
        <w:t>nasledovali fondy fondov,</w:t>
      </w:r>
      <w:r w:rsidR="00BF0E04" w:rsidRPr="00683075">
        <w:t xml:space="preserve"> </w:t>
      </w:r>
      <w:r w:rsidRPr="00683075">
        <w:t>iné fondy</w:t>
      </w:r>
      <w:r w:rsidR="003E557A">
        <w:t xml:space="preserve"> a </w:t>
      </w:r>
      <w:r w:rsidRPr="00683075">
        <w:t>špeciálne fondy nehnuteľností.</w:t>
      </w:r>
      <w:r w:rsidR="00BF0E04" w:rsidRPr="00683075">
        <w:t xml:space="preserve"> </w:t>
      </w:r>
      <w:r w:rsidRPr="00683075">
        <w:t>Zvyšné kategórie zaznamenali výnos od 0,4</w:t>
      </w:r>
      <w:r w:rsidR="003E557A">
        <w:t xml:space="preserve"> % </w:t>
      </w:r>
      <w:r w:rsidRPr="00683075">
        <w:t>(podielové fondy peňažného trhu) do 3,1</w:t>
      </w:r>
      <w:r w:rsidR="003E557A">
        <w:t xml:space="preserve"> % </w:t>
      </w:r>
      <w:r w:rsidRPr="00683075">
        <w:t>(dlhopisové</w:t>
      </w:r>
      <w:r w:rsidR="00BF0E04" w:rsidRPr="00683075">
        <w:t xml:space="preserve"> </w:t>
      </w:r>
      <w:r w:rsidRPr="00683075">
        <w:t>fondy).</w:t>
      </w:r>
    </w:p>
    <w:p w:rsidR="00EC7744" w:rsidRPr="00683075" w:rsidRDefault="00820B6E" w:rsidP="00683075">
      <w:r w:rsidRPr="00683075">
        <w:t>Zisk tuzemských správcovských spoločností</w:t>
      </w:r>
      <w:r w:rsidR="003E557A">
        <w:t xml:space="preserve"> v </w:t>
      </w:r>
      <w:r w:rsidRPr="00683075">
        <w:t>sektore kolektívneho investovania dosiahol</w:t>
      </w:r>
      <w:r w:rsidR="003E557A">
        <w:t xml:space="preserve"> v </w:t>
      </w:r>
      <w:r w:rsidRPr="00683075">
        <w:t>prvom polroku 2013</w:t>
      </w:r>
      <w:r w:rsidR="003E557A">
        <w:t xml:space="preserve"> v </w:t>
      </w:r>
      <w:r w:rsidRPr="00683075">
        <w:t>súčte úroveň 3,75 mil. €.</w:t>
      </w:r>
      <w:r w:rsidR="00BF0E04" w:rsidRPr="00683075">
        <w:t xml:space="preserve"> </w:t>
      </w:r>
      <w:r w:rsidRPr="00683075">
        <w:t>Medziročne tak došlo</w:t>
      </w:r>
      <w:r w:rsidR="003E557A">
        <w:t xml:space="preserve"> k </w:t>
      </w:r>
      <w:r w:rsidRPr="00683075">
        <w:t>poklesu vyprodukovaného</w:t>
      </w:r>
      <w:r w:rsidR="00BF0E04" w:rsidRPr="00683075">
        <w:t xml:space="preserve"> </w:t>
      </w:r>
      <w:r w:rsidRPr="00683075">
        <w:t>zisku o 15 %. Toto zníženie však možno</w:t>
      </w:r>
      <w:r w:rsidR="00BF0E04" w:rsidRPr="00683075">
        <w:t xml:space="preserve"> </w:t>
      </w:r>
      <w:r w:rsidRPr="00683075">
        <w:t>do veľkej miery pripísať na vrub výraznej straty</w:t>
      </w:r>
      <w:r w:rsidR="003E557A">
        <w:t xml:space="preserve"> z </w:t>
      </w:r>
      <w:r w:rsidRPr="00683075">
        <w:t>obchodovania</w:t>
      </w:r>
      <w:r w:rsidR="003E557A">
        <w:t xml:space="preserve"> s </w:t>
      </w:r>
      <w:r w:rsidRPr="00683075">
        <w:t>majetkovými cennými papiermi</w:t>
      </w:r>
      <w:r w:rsidR="003E557A">
        <w:t xml:space="preserve"> v </w:t>
      </w:r>
      <w:r w:rsidRPr="00683075">
        <w:t>jednej správcovskej spoločnosti. Pokiaľ by</w:t>
      </w:r>
      <w:r w:rsidR="00BF0E04" w:rsidRPr="00683075">
        <w:t xml:space="preserve"> </w:t>
      </w:r>
      <w:r w:rsidRPr="00683075">
        <w:t>sa výsledok hospodárenia za celý sektor očistil</w:t>
      </w:r>
      <w:r w:rsidR="00BF0E04" w:rsidRPr="00683075">
        <w:t xml:space="preserve"> </w:t>
      </w:r>
      <w:r w:rsidRPr="00683075">
        <w:t>o túto položku, potom by zrejme jeho úroveň</w:t>
      </w:r>
      <w:r w:rsidR="003E557A">
        <w:t xml:space="preserve"> z </w:t>
      </w:r>
      <w:r w:rsidRPr="00683075">
        <w:t>prvého polroka 2013 bola naopak vyššia ako za</w:t>
      </w:r>
      <w:r w:rsidR="00BF0E04" w:rsidRPr="00683075">
        <w:t xml:space="preserve"> </w:t>
      </w:r>
      <w:r w:rsidRPr="00683075">
        <w:t>rovnaké obdobie predošlého roka. Čistý výnos</w:t>
      </w:r>
      <w:r w:rsidR="003E557A">
        <w:t xml:space="preserve"> z </w:t>
      </w:r>
      <w:r w:rsidRPr="00683075">
        <w:t>poplatkov</w:t>
      </w:r>
      <w:r w:rsidR="003E557A">
        <w:t xml:space="preserve"> a </w:t>
      </w:r>
      <w:r w:rsidRPr="00683075">
        <w:t>provízií totiž vzrástol medziročne</w:t>
      </w:r>
      <w:r w:rsidR="00BF0E04" w:rsidRPr="00683075">
        <w:t xml:space="preserve"> </w:t>
      </w:r>
      <w:r w:rsidRPr="00683075">
        <w:t>o 5</w:t>
      </w:r>
      <w:r w:rsidR="003E557A">
        <w:t xml:space="preserve"> % a </w:t>
      </w:r>
      <w:r w:rsidRPr="00683075">
        <w:t>o necelú desatinu sa znížili všeobecné</w:t>
      </w:r>
      <w:r w:rsidR="00BF0E04" w:rsidRPr="00683075">
        <w:t xml:space="preserve"> </w:t>
      </w:r>
      <w:r w:rsidRPr="00683075">
        <w:t>prevádzkové náklady. Všetkých šesť tuzemských</w:t>
      </w:r>
      <w:r w:rsidR="00BF0E04" w:rsidRPr="00683075">
        <w:t xml:space="preserve"> </w:t>
      </w:r>
      <w:r w:rsidRPr="00683075">
        <w:t>správcovských spoločností zakončilo prvý polrok</w:t>
      </w:r>
      <w:r w:rsidR="00BF0E04" w:rsidRPr="00683075">
        <w:t xml:space="preserve"> </w:t>
      </w:r>
      <w:r w:rsidRPr="00683075">
        <w:t>2013</w:t>
      </w:r>
      <w:r w:rsidR="003E557A">
        <w:t xml:space="preserve"> s </w:t>
      </w:r>
      <w:r w:rsidRPr="00683075">
        <w:t>kladným hospodárskym výsledkom.</w:t>
      </w:r>
    </w:p>
    <w:p w:rsidR="00820B6E" w:rsidRPr="00683075" w:rsidRDefault="00820B6E" w:rsidP="0002424C">
      <w:pPr>
        <w:pStyle w:val="Nadpis2"/>
      </w:pPr>
      <w:bookmarkStart w:id="14" w:name="_Toc376206548"/>
      <w:r w:rsidRPr="00683075">
        <w:t>Obchodníci</w:t>
      </w:r>
      <w:r w:rsidR="003E557A">
        <w:t xml:space="preserve"> s </w:t>
      </w:r>
      <w:r w:rsidRPr="00683075">
        <w:t>cennými papiermi</w:t>
      </w:r>
      <w:bookmarkEnd w:id="14"/>
      <w:r w:rsidR="00BF0E04" w:rsidRPr="00683075">
        <w:t xml:space="preserve"> </w:t>
      </w:r>
    </w:p>
    <w:p w:rsidR="00EC7744" w:rsidRPr="00683075" w:rsidRDefault="00820B6E" w:rsidP="00683075">
      <w:r w:rsidRPr="00683075">
        <w:t>Nárast obchodovania</w:t>
      </w:r>
      <w:r w:rsidR="003E557A">
        <w:t xml:space="preserve"> s </w:t>
      </w:r>
      <w:r w:rsidRPr="00683075">
        <w:t>derivátmi prispel rozhodujúcou mierou</w:t>
      </w:r>
      <w:r w:rsidR="003E557A">
        <w:t xml:space="preserve"> k </w:t>
      </w:r>
      <w:r w:rsidRPr="00683075">
        <w:t>celkovému nárastu objemu</w:t>
      </w:r>
      <w:r w:rsidR="00BF0E04" w:rsidRPr="00683075">
        <w:t xml:space="preserve"> </w:t>
      </w:r>
      <w:r w:rsidRPr="00683075">
        <w:t>zrealizovaných obchodov</w:t>
      </w:r>
      <w:r w:rsidR="003E557A">
        <w:t xml:space="preserve"> v </w:t>
      </w:r>
      <w:r w:rsidRPr="00683075">
        <w:t>sektore. Na druhej strane, objem klientskeho majetku klesol o 18 %, na</w:t>
      </w:r>
      <w:r w:rsidR="00BF0E04" w:rsidRPr="00683075">
        <w:t xml:space="preserve"> </w:t>
      </w:r>
      <w:r w:rsidRPr="00683075">
        <w:t>minimum za posledných päť rokov.</w:t>
      </w:r>
    </w:p>
    <w:p w:rsidR="00EC7744" w:rsidRPr="00683075" w:rsidRDefault="00820B6E" w:rsidP="00683075">
      <w:r w:rsidRPr="00683075">
        <w:t>V prvom polroku 2013 objem majetku zobchodovaného</w:t>
      </w:r>
      <w:r w:rsidR="00BF0E04" w:rsidRPr="00683075">
        <w:t xml:space="preserve"> </w:t>
      </w:r>
      <w:r w:rsidRPr="00683075">
        <w:t>prostredníctvom subjektov</w:t>
      </w:r>
      <w:r w:rsidR="003E557A">
        <w:t xml:space="preserve"> s </w:t>
      </w:r>
      <w:r w:rsidRPr="00683075">
        <w:t>povolením</w:t>
      </w:r>
      <w:r w:rsidR="00BF0E04" w:rsidRPr="00683075">
        <w:t xml:space="preserve"> </w:t>
      </w:r>
      <w:r w:rsidRPr="00683075">
        <w:t>na poskytovanie investičných služieb (OCP)</w:t>
      </w:r>
      <w:r w:rsidR="00BF0E04" w:rsidRPr="00683075">
        <w:t xml:space="preserve"> </w:t>
      </w:r>
      <w:r w:rsidRPr="00683075">
        <w:t>vzrástol medziročne o 30 %, čím došlo</w:t>
      </w:r>
      <w:r w:rsidR="003E557A">
        <w:t xml:space="preserve"> k </w:t>
      </w:r>
      <w:r w:rsidRPr="00683075">
        <w:t>obratu</w:t>
      </w:r>
      <w:r w:rsidR="003E557A">
        <w:t xml:space="preserve"> v </w:t>
      </w:r>
      <w:r w:rsidRPr="00683075">
        <w:t>dlhodobom klesajúcom trende predošlých</w:t>
      </w:r>
      <w:r w:rsidR="00BF0E04" w:rsidRPr="00683075">
        <w:t xml:space="preserve"> </w:t>
      </w:r>
      <w:r w:rsidRPr="00683075">
        <w:t>rokov. Prevažnú časť tohto nárastu obstarali</w:t>
      </w:r>
      <w:r w:rsidR="00BF0E04" w:rsidRPr="00683075">
        <w:t xml:space="preserve"> </w:t>
      </w:r>
      <w:r w:rsidRPr="00683075">
        <w:t>obchody</w:t>
      </w:r>
      <w:r w:rsidR="003E557A">
        <w:t xml:space="preserve"> s </w:t>
      </w:r>
      <w:r w:rsidRPr="00683075">
        <w:t>derivátmi, ktoré zároveň</w:t>
      </w:r>
      <w:r w:rsidR="003E557A">
        <w:t xml:space="preserve"> s </w:t>
      </w:r>
      <w:r w:rsidRPr="00683075">
        <w:t>podielom</w:t>
      </w:r>
      <w:r w:rsidR="00BF0E04" w:rsidRPr="00683075">
        <w:t xml:space="preserve"> </w:t>
      </w:r>
      <w:r w:rsidRPr="00683075">
        <w:t>84</w:t>
      </w:r>
      <w:r w:rsidR="003E557A">
        <w:t xml:space="preserve"> % </w:t>
      </w:r>
      <w:r w:rsidRPr="00683075">
        <w:t>tvorili dominantnú časť</w:t>
      </w:r>
      <w:r w:rsidR="003E557A">
        <w:t xml:space="preserve"> z </w:t>
      </w:r>
      <w:r w:rsidRPr="00683075">
        <w:t>celkového objemu</w:t>
      </w:r>
      <w:r w:rsidR="00BF0E04" w:rsidRPr="00683075">
        <w:t xml:space="preserve"> </w:t>
      </w:r>
      <w:r w:rsidRPr="00683075">
        <w:t>realizovaných obchodov. Významnejší nárast</w:t>
      </w:r>
      <w:r w:rsidR="00BF0E04" w:rsidRPr="00683075">
        <w:t xml:space="preserve"> </w:t>
      </w:r>
      <w:r w:rsidRPr="00683075">
        <w:t>obchodnej aktivity nastal aj na strane dlhopisov.</w:t>
      </w:r>
    </w:p>
    <w:p w:rsidR="00EC7744" w:rsidRPr="00683075" w:rsidRDefault="00820B6E" w:rsidP="00683075">
      <w:r w:rsidRPr="00683075">
        <w:t>Pokiaľ ide o objem spravovaného klientskeho</w:t>
      </w:r>
      <w:r w:rsidR="00BF0E04" w:rsidRPr="00683075">
        <w:t xml:space="preserve"> </w:t>
      </w:r>
      <w:r w:rsidRPr="00683075">
        <w:t>majetku</w:t>
      </w:r>
      <w:r w:rsidR="003E557A">
        <w:t xml:space="preserve"> k </w:t>
      </w:r>
      <w:r w:rsidRPr="00683075">
        <w:t>30. 6. 2013, ten sa</w:t>
      </w:r>
      <w:r w:rsidR="003E557A">
        <w:t xml:space="preserve"> v </w:t>
      </w:r>
      <w:r w:rsidRPr="00683075">
        <w:t>porovnaní</w:t>
      </w:r>
      <w:r w:rsidR="003E557A">
        <w:t xml:space="preserve"> s </w:t>
      </w:r>
      <w:r w:rsidRPr="00683075">
        <w:t>koncom</w:t>
      </w:r>
      <w:r w:rsidR="00BF0E04" w:rsidRPr="00683075">
        <w:t xml:space="preserve"> </w:t>
      </w:r>
      <w:r w:rsidRPr="00683075">
        <w:t>roka 2012 znížil o 18</w:t>
      </w:r>
      <w:r w:rsidR="003E557A">
        <w:t xml:space="preserve"> % a </w:t>
      </w:r>
      <w:r w:rsidRPr="00683075">
        <w:t>zaznamenal tak najmenšiu</w:t>
      </w:r>
      <w:r w:rsidR="00BF0E04" w:rsidRPr="00683075">
        <w:t xml:space="preserve"> </w:t>
      </w:r>
      <w:r w:rsidRPr="00683075">
        <w:t>hodnotu od roku 2007. Uvedený pokles</w:t>
      </w:r>
      <w:r w:rsidR="00BF0E04" w:rsidRPr="00683075">
        <w:t xml:space="preserve"> </w:t>
      </w:r>
      <w:r w:rsidRPr="00683075">
        <w:t>je prakticky</w:t>
      </w:r>
      <w:r w:rsidR="003E557A">
        <w:t xml:space="preserve"> v </w:t>
      </w:r>
      <w:r w:rsidRPr="00683075">
        <w:t>plnej miere dôsledkom ukončenia</w:t>
      </w:r>
      <w:r w:rsidR="00BF0E04" w:rsidRPr="00683075">
        <w:t xml:space="preserve"> </w:t>
      </w:r>
      <w:r w:rsidRPr="00683075">
        <w:t>pôsobenia dvoch správcovských spoločností</w:t>
      </w:r>
      <w:r w:rsidR="003E557A">
        <w:t xml:space="preserve"> v </w:t>
      </w:r>
      <w:r w:rsidRPr="00683075">
        <w:t>poskytovaní investičných služieb klientom na</w:t>
      </w:r>
      <w:r w:rsidR="00BF0E04" w:rsidRPr="00683075">
        <w:t xml:space="preserve"> </w:t>
      </w:r>
      <w:r w:rsidRPr="00683075">
        <w:t>Slovensku. Napriek tomu si správcovské spoločnosti</w:t>
      </w:r>
      <w:r w:rsidR="00BF0E04" w:rsidRPr="00683075">
        <w:t xml:space="preserve"> </w:t>
      </w:r>
      <w:r w:rsidRPr="00683075">
        <w:t>zachovali jednoznačne najväčší podiel na</w:t>
      </w:r>
      <w:r w:rsidR="00BF0E04" w:rsidRPr="00683075">
        <w:t xml:space="preserve"> </w:t>
      </w:r>
      <w:r w:rsidRPr="00683075">
        <w:t>správe klientskeho majetku.</w:t>
      </w:r>
    </w:p>
    <w:p w:rsidR="00820B6E" w:rsidRPr="00683075" w:rsidRDefault="00F43257" w:rsidP="00683075">
      <w:r w:rsidRPr="00683075">
        <w:t xml:space="preserve">Zdroj: </w:t>
      </w:r>
      <w:proofErr w:type="spellStart"/>
      <w:r w:rsidRPr="00683075">
        <w:t>www.nbs.sk</w:t>
      </w:r>
      <w:proofErr w:type="spellEnd"/>
    </w:p>
    <w:sectPr w:rsidR="00820B6E" w:rsidRPr="00683075" w:rsidSect="00FA3DCE">
      <w:headerReference w:type="default" r:id="rId13"/>
      <w:type w:val="continuous"/>
      <w:pgSz w:w="11906" w:h="16838"/>
      <w:pgMar w:top="1474" w:right="1327" w:bottom="1474" w:left="1327" w:header="709" w:footer="709" w:gutter="340"/>
      <w:cols w:num="2" w:space="17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CC7" w:rsidRDefault="00812CC7" w:rsidP="009E6773">
      <w:pPr>
        <w:spacing w:after="0"/>
      </w:pPr>
      <w:r>
        <w:separator/>
      </w:r>
    </w:p>
  </w:endnote>
  <w:endnote w:type="continuationSeparator" w:id="0">
    <w:p w:rsidR="00812CC7" w:rsidRDefault="00812CC7" w:rsidP="009E67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03" w:rsidRPr="00FA07FC" w:rsidRDefault="00B94203" w:rsidP="00FA07FC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320" w:rsidRPr="00F72424" w:rsidRDefault="00FA2CC0" w:rsidP="001D45BA">
    <w:pPr>
      <w:pStyle w:val="Pta"/>
      <w:jc w:val="right"/>
      <w:rPr>
        <w:color w:val="808080" w:themeColor="background1" w:themeShade="80"/>
        <w:szCs w:val="20"/>
      </w:rPr>
    </w:pPr>
    <w:r>
      <w:rPr>
        <w:noProof/>
        <w:color w:val="808080" w:themeColor="background1" w:themeShade="80"/>
        <w:szCs w:val="20"/>
        <w:lang w:eastAsia="sk-SK"/>
      </w:rPr>
      <w:pict>
        <v:rect id="_x0000_s2076" style="position:absolute;left:0;text-align:left;margin-left:547.7pt;margin-top:3.6pt;width:45.75pt;height:37.75pt;z-index:-251644928;mso-position-horizontal-relative:page;mso-position-vertical-relative:bottom-margin-area;v-text-anchor:middle" fillcolor="#bfbfbf [2412]" stroked="f">
          <v:textbox style="mso-next-textbox:#_x0000_s2076">
            <w:txbxContent>
              <w:p w:rsidR="00E86320" w:rsidRPr="001D45BA" w:rsidRDefault="00FA2CC0" w:rsidP="001D45BA">
                <w:pPr>
                  <w:jc w:val="right"/>
                  <w:rPr>
                    <w:color w:val="C00000"/>
                    <w:sz w:val="44"/>
                    <w:szCs w:val="44"/>
                  </w:rPr>
                </w:pPr>
                <w:r w:rsidRPr="001D45BA">
                  <w:rPr>
                    <w:color w:val="C00000"/>
                    <w:sz w:val="44"/>
                    <w:szCs w:val="44"/>
                  </w:rPr>
                  <w:fldChar w:fldCharType="begin"/>
                </w:r>
                <w:r w:rsidR="00E86320" w:rsidRPr="001D45BA">
                  <w:rPr>
                    <w:color w:val="C00000"/>
                    <w:sz w:val="44"/>
                    <w:szCs w:val="44"/>
                  </w:rPr>
                  <w:instrText xml:space="preserve"> PAGE   \* MERGEFORMAT </w:instrText>
                </w:r>
                <w:r w:rsidRPr="001D45BA">
                  <w:rPr>
                    <w:color w:val="C00000"/>
                    <w:sz w:val="44"/>
                    <w:szCs w:val="44"/>
                  </w:rPr>
                  <w:fldChar w:fldCharType="separate"/>
                </w:r>
                <w:r w:rsidR="00865A2B">
                  <w:rPr>
                    <w:noProof/>
                    <w:color w:val="C00000"/>
                    <w:sz w:val="44"/>
                    <w:szCs w:val="44"/>
                  </w:rPr>
                  <w:t>26</w:t>
                </w:r>
                <w:r w:rsidRPr="001D45BA">
                  <w:rPr>
                    <w:color w:val="C00000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E86320" w:rsidRPr="00F72424">
      <w:rPr>
        <w:color w:val="808080" w:themeColor="background1" w:themeShade="80"/>
        <w:szCs w:val="20"/>
      </w:rPr>
      <w:t>NBS</w:t>
    </w:r>
  </w:p>
  <w:p w:rsidR="00E86320" w:rsidRPr="00F72424" w:rsidRDefault="00FA2CC0" w:rsidP="001D45BA">
    <w:pPr>
      <w:pStyle w:val="Pta"/>
      <w:jc w:val="right"/>
      <w:rPr>
        <w:caps/>
        <w:color w:val="C00000"/>
        <w:kern w:val="24"/>
        <w:szCs w:val="20"/>
      </w:rPr>
    </w:pPr>
    <w:fldSimple w:instr=" TITLE  \* Upper  \* MERGEFORMAT ">
      <w:r w:rsidR="00E86320" w:rsidRPr="00F72424">
        <w:rPr>
          <w:color w:val="C00000"/>
          <w:szCs w:val="20"/>
        </w:rPr>
        <w:t>ANALÝZA SLOVENSKÉHO FINANČNÉHO SEKTORA</w:t>
      </w:r>
    </w:fldSimple>
    <w:r w:rsidRPr="00F72424">
      <w:rPr>
        <w:color w:val="BFBFBF" w:themeColor="background1" w:themeShade="BF"/>
        <w:szCs w:val="20"/>
      </w:rPr>
      <w:fldChar w:fldCharType="begin"/>
    </w:r>
    <w:r w:rsidR="00E86320" w:rsidRPr="00F72424">
      <w:rPr>
        <w:color w:val="BFBFBF" w:themeColor="background1" w:themeShade="BF"/>
        <w:szCs w:val="20"/>
      </w:rPr>
      <w:instrText xml:space="preserve"> TITLE  \* Upper  \* MERGEFORMAT </w:instrText>
    </w:r>
    <w:r w:rsidRPr="00F72424">
      <w:rPr>
        <w:color w:val="BFBFBF" w:themeColor="background1" w:themeShade="BF"/>
        <w:szCs w:val="20"/>
      </w:rPr>
      <w:fldChar w:fldCharType="end"/>
    </w:r>
    <w:r w:rsidRPr="00F72424">
      <w:rPr>
        <w:caps/>
        <w:color w:val="C00000"/>
        <w:kern w:val="24"/>
        <w:szCs w:val="20"/>
      </w:rPr>
      <w:fldChar w:fldCharType="begin"/>
    </w:r>
    <w:r w:rsidR="00E86320" w:rsidRPr="00F72424">
      <w:rPr>
        <w:caps/>
        <w:color w:val="C00000"/>
        <w:kern w:val="24"/>
        <w:szCs w:val="20"/>
      </w:rPr>
      <w:instrText xml:space="preserve"> TITLE  \* Upper  \* MERGEFORMAT </w:instrText>
    </w:r>
    <w:r w:rsidRPr="00F72424">
      <w:rPr>
        <w:caps/>
        <w:color w:val="C00000"/>
        <w:kern w:val="24"/>
        <w:szCs w:val="20"/>
      </w:rPr>
      <w:fldChar w:fldCharType="end"/>
    </w:r>
  </w:p>
  <w:p w:rsidR="00E86320" w:rsidRPr="001D45BA" w:rsidRDefault="00E86320" w:rsidP="001D45BA">
    <w:pPr>
      <w:pStyle w:val="Pta"/>
      <w:jc w:val="right"/>
      <w:rPr>
        <w:caps/>
        <w:color w:val="808080" w:themeColor="background1" w:themeShade="80"/>
        <w:kern w:val="24"/>
      </w:rPr>
    </w:pPr>
    <w:r w:rsidRPr="00F72424">
      <w:rPr>
        <w:caps/>
        <w:color w:val="808080" w:themeColor="background1" w:themeShade="80"/>
        <w:kern w:val="24"/>
        <w:szCs w:val="20"/>
      </w:rPr>
      <w:t>1H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CC7" w:rsidRDefault="00812CC7" w:rsidP="009E6773">
      <w:pPr>
        <w:spacing w:after="0"/>
      </w:pPr>
      <w:r>
        <w:separator/>
      </w:r>
    </w:p>
  </w:footnote>
  <w:footnote w:type="continuationSeparator" w:id="0">
    <w:p w:rsidR="00812CC7" w:rsidRDefault="00812CC7" w:rsidP="009E677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03" w:rsidRDefault="00B94203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-38100</wp:posOffset>
          </wp:positionH>
          <wp:positionV relativeFrom="page">
            <wp:align>top</wp:align>
          </wp:positionV>
          <wp:extent cx="7620000" cy="10725150"/>
          <wp:effectExtent l="19050" t="0" r="0" b="0"/>
          <wp:wrapNone/>
          <wp:docPr id="4" name="Obrázok 3" descr="pozad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adi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0" cy="10725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03" w:rsidRDefault="00FA2CC0" w:rsidP="003B3049">
    <w:pPr>
      <w:pStyle w:val="Hlavika"/>
      <w:jc w:val="right"/>
    </w:pPr>
    <w:r>
      <w:rPr>
        <w:noProof/>
        <w:lang w:eastAsia="sk-SK"/>
      </w:rPr>
      <w:pict>
        <v:rect id="_x0000_s2070" style="position:absolute;left:0;text-align:left;margin-left:-85.6pt;margin-top:17.05pt;width:601.5pt;height:21pt;z-index:251659264" fillcolor="#bfbfbf [2412]" stroked="f">
          <v:textbox style="mso-next-textbox:#_x0000_s2070">
            <w:txbxContent>
              <w:p w:rsidR="00B94203" w:rsidRPr="00C22B63" w:rsidRDefault="00B94203" w:rsidP="00C22B63">
                <w:pPr>
                  <w:jc w:val="center"/>
                </w:pPr>
              </w:p>
            </w:txbxContent>
          </v:textbox>
        </v:rect>
      </w:pict>
    </w:r>
    <w:r w:rsidR="00B94203">
      <w:rPr>
        <w:noProof/>
        <w:lang w:eastAsia="sk-SK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895350" cy="885825"/>
          <wp:effectExtent l="19050" t="0" r="0" b="0"/>
          <wp:wrapTight wrapText="bothSides">
            <wp:wrapPolygon edited="0">
              <wp:start x="-460" y="0"/>
              <wp:lineTo x="-460" y="21368"/>
              <wp:lineTo x="21600" y="21368"/>
              <wp:lineTo x="21600" y="0"/>
              <wp:lineTo x="-460" y="0"/>
            </wp:wrapPolygon>
          </wp:wrapTight>
          <wp:docPr id="5" name="Obrázok 4" descr="nb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0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320" w:rsidRDefault="00FA2CC0" w:rsidP="003B3049">
    <w:pPr>
      <w:pStyle w:val="Hlavika"/>
      <w:jc w:val="right"/>
    </w:pPr>
    <w:r>
      <w:rPr>
        <w:noProof/>
        <w:lang w:eastAsia="sk-SK"/>
      </w:rPr>
      <w:pict>
        <v:rect id="_x0000_s2075" style="position:absolute;left:0;text-align:left;margin-left:-85.6pt;margin-top:17.05pt;width:601.5pt;height:21pt;z-index:251668480" fillcolor="#bfbfbf [2412]" stroked="f">
          <v:textbox style="mso-next-textbox:#_x0000_s2075">
            <w:txbxContent>
              <w:p w:rsidR="00E86320" w:rsidRPr="00331EF7" w:rsidRDefault="00FA2CC0" w:rsidP="00C22B63">
                <w:pPr>
                  <w:jc w:val="center"/>
                  <w:rPr>
                    <w:color w:val="C00000"/>
                  </w:rPr>
                </w:pPr>
                <w:fldSimple w:instr=" STYLEREF  &quot;Nadpis 1&quot;  \* MERGEFORMAT ">
                  <w:r w:rsidR="00865A2B" w:rsidRPr="00865A2B">
                    <w:rPr>
                      <w:noProof/>
                      <w:color w:val="C00000"/>
                      <w:szCs w:val="20"/>
                    </w:rPr>
                    <w:t>Úvodné</w:t>
                  </w:r>
                  <w:r w:rsidR="00865A2B">
                    <w:rPr>
                      <w:noProof/>
                    </w:rPr>
                    <w:t xml:space="preserve"> slovo</w:t>
                  </w:r>
                </w:fldSimple>
              </w:p>
            </w:txbxContent>
          </v:textbox>
        </v:rect>
      </w:pict>
    </w:r>
    <w:r w:rsidR="00E86320">
      <w:rPr>
        <w:noProof/>
        <w:lang w:eastAsia="sk-SK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895350" cy="885825"/>
          <wp:effectExtent l="19050" t="0" r="0" b="0"/>
          <wp:wrapTight wrapText="bothSides">
            <wp:wrapPolygon edited="0">
              <wp:start x="-460" y="0"/>
              <wp:lineTo x="-460" y="21368"/>
              <wp:lineTo x="21600" y="21368"/>
              <wp:lineTo x="21600" y="0"/>
              <wp:lineTo x="-460" y="0"/>
            </wp:wrapPolygon>
          </wp:wrapTight>
          <wp:docPr id="8" name="Obrázok 4" descr="nb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0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03" w:rsidRDefault="00FA2CC0" w:rsidP="003B3049">
    <w:pPr>
      <w:pStyle w:val="Hlavika"/>
      <w:jc w:val="right"/>
    </w:pPr>
    <w:r>
      <w:rPr>
        <w:noProof/>
        <w:lang w:eastAsia="sk-SK"/>
      </w:rPr>
      <w:pict>
        <v:rect id="_x0000_s2073" style="position:absolute;left:0;text-align:left;margin-left:-85.6pt;margin-top:17.05pt;width:601.5pt;height:21pt;z-index:251665408" fillcolor="#bfbfbf [2412]" stroked="f">
          <v:textbox style="mso-next-textbox:#_x0000_s2073">
            <w:txbxContent>
              <w:p w:rsidR="00B94203" w:rsidRPr="00331EF7" w:rsidRDefault="00FA2CC0" w:rsidP="00C22B63">
                <w:pPr>
                  <w:jc w:val="center"/>
                  <w:rPr>
                    <w:color w:val="C00000"/>
                  </w:rPr>
                </w:pPr>
                <w:fldSimple w:instr=" STYLEREF  &quot;Nadpis 1&quot;  \* MERGEFORMAT ">
                  <w:r w:rsidR="00865A2B" w:rsidRPr="00865A2B">
                    <w:rPr>
                      <w:noProof/>
                      <w:color w:val="C00000"/>
                      <w:szCs w:val="20"/>
                    </w:rPr>
                    <w:t>Vývoj v</w:t>
                  </w:r>
                  <w:r w:rsidR="00865A2B">
                    <w:rPr>
                      <w:noProof/>
                    </w:rPr>
                    <w:t xml:space="preserve"> slovenskom finančnom sektore</w:t>
                  </w:r>
                </w:fldSimple>
              </w:p>
            </w:txbxContent>
          </v:textbox>
        </v:rect>
      </w:pict>
    </w:r>
    <w:r w:rsidR="00B94203">
      <w:rPr>
        <w:noProof/>
        <w:lang w:eastAsia="sk-SK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895350" cy="885825"/>
          <wp:effectExtent l="19050" t="0" r="0" b="0"/>
          <wp:wrapTight wrapText="bothSides">
            <wp:wrapPolygon edited="0">
              <wp:start x="-460" y="0"/>
              <wp:lineTo x="-460" y="21368"/>
              <wp:lineTo x="21600" y="21368"/>
              <wp:lineTo x="21600" y="0"/>
              <wp:lineTo x="-460" y="0"/>
            </wp:wrapPolygon>
          </wp:wrapTight>
          <wp:docPr id="6" name="Obrázok 4" descr="nb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0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B1551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45B0D"/>
    <w:rsid w:val="00005981"/>
    <w:rsid w:val="000070EE"/>
    <w:rsid w:val="00007F9E"/>
    <w:rsid w:val="00011890"/>
    <w:rsid w:val="000206F6"/>
    <w:rsid w:val="0002424C"/>
    <w:rsid w:val="00025323"/>
    <w:rsid w:val="00027455"/>
    <w:rsid w:val="00032681"/>
    <w:rsid w:val="000451B9"/>
    <w:rsid w:val="0005040C"/>
    <w:rsid w:val="0005464E"/>
    <w:rsid w:val="000551C1"/>
    <w:rsid w:val="000606B0"/>
    <w:rsid w:val="0006446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651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51DE"/>
    <w:rsid w:val="00177DF2"/>
    <w:rsid w:val="001829E1"/>
    <w:rsid w:val="00184779"/>
    <w:rsid w:val="00185B90"/>
    <w:rsid w:val="00191B12"/>
    <w:rsid w:val="001A269E"/>
    <w:rsid w:val="001B5D9B"/>
    <w:rsid w:val="001B747C"/>
    <w:rsid w:val="001B7F58"/>
    <w:rsid w:val="001C1BC3"/>
    <w:rsid w:val="001C2DBF"/>
    <w:rsid w:val="001D45BA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1C74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0A33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5A6C"/>
    <w:rsid w:val="003062BB"/>
    <w:rsid w:val="00331EF7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A12D2"/>
    <w:rsid w:val="003A13E2"/>
    <w:rsid w:val="003A22B5"/>
    <w:rsid w:val="003A47FB"/>
    <w:rsid w:val="003A5A00"/>
    <w:rsid w:val="003A6333"/>
    <w:rsid w:val="003A7C8B"/>
    <w:rsid w:val="003B1CB4"/>
    <w:rsid w:val="003B3049"/>
    <w:rsid w:val="003C2764"/>
    <w:rsid w:val="003D164B"/>
    <w:rsid w:val="003D1C16"/>
    <w:rsid w:val="003D7D8F"/>
    <w:rsid w:val="003E03A1"/>
    <w:rsid w:val="003E0B74"/>
    <w:rsid w:val="003E250A"/>
    <w:rsid w:val="003E557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17A72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42B4"/>
    <w:rsid w:val="004A6F47"/>
    <w:rsid w:val="004B0B84"/>
    <w:rsid w:val="004B29EB"/>
    <w:rsid w:val="004B48E6"/>
    <w:rsid w:val="004B4CB0"/>
    <w:rsid w:val="004B6930"/>
    <w:rsid w:val="004B77AD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015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C3D0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276E9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075"/>
    <w:rsid w:val="006839B7"/>
    <w:rsid w:val="006845E0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77A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2CC7"/>
    <w:rsid w:val="0081321B"/>
    <w:rsid w:val="00817A0A"/>
    <w:rsid w:val="00820B6E"/>
    <w:rsid w:val="00820BC7"/>
    <w:rsid w:val="00823810"/>
    <w:rsid w:val="00833155"/>
    <w:rsid w:val="008516EB"/>
    <w:rsid w:val="00851A7D"/>
    <w:rsid w:val="008544A4"/>
    <w:rsid w:val="00854B3D"/>
    <w:rsid w:val="00855110"/>
    <w:rsid w:val="00862FB9"/>
    <w:rsid w:val="00865A2B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83894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6773"/>
    <w:rsid w:val="009E771C"/>
    <w:rsid w:val="009F101B"/>
    <w:rsid w:val="009F3DE8"/>
    <w:rsid w:val="00A04507"/>
    <w:rsid w:val="00A16BF8"/>
    <w:rsid w:val="00A17B5C"/>
    <w:rsid w:val="00A2695E"/>
    <w:rsid w:val="00A33521"/>
    <w:rsid w:val="00A34B51"/>
    <w:rsid w:val="00A35B42"/>
    <w:rsid w:val="00A36D8A"/>
    <w:rsid w:val="00A44B99"/>
    <w:rsid w:val="00A4553E"/>
    <w:rsid w:val="00A52365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C715B"/>
    <w:rsid w:val="00AD0687"/>
    <w:rsid w:val="00AD4498"/>
    <w:rsid w:val="00AD4B4A"/>
    <w:rsid w:val="00AD6D29"/>
    <w:rsid w:val="00AE2C67"/>
    <w:rsid w:val="00AE4C98"/>
    <w:rsid w:val="00AF62C5"/>
    <w:rsid w:val="00B00383"/>
    <w:rsid w:val="00B01440"/>
    <w:rsid w:val="00B018D5"/>
    <w:rsid w:val="00B128CF"/>
    <w:rsid w:val="00B143BE"/>
    <w:rsid w:val="00B174A2"/>
    <w:rsid w:val="00B217A0"/>
    <w:rsid w:val="00B24D8C"/>
    <w:rsid w:val="00B301B4"/>
    <w:rsid w:val="00B305AD"/>
    <w:rsid w:val="00B322AC"/>
    <w:rsid w:val="00B32D8F"/>
    <w:rsid w:val="00B361E5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94203"/>
    <w:rsid w:val="00BA5134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0E04"/>
    <w:rsid w:val="00BF10EE"/>
    <w:rsid w:val="00BF44ED"/>
    <w:rsid w:val="00BF5671"/>
    <w:rsid w:val="00C000C6"/>
    <w:rsid w:val="00C0257C"/>
    <w:rsid w:val="00C22B63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5EF0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77337"/>
    <w:rsid w:val="00DA11FE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69C"/>
    <w:rsid w:val="00DD796B"/>
    <w:rsid w:val="00DE5263"/>
    <w:rsid w:val="00DF7F32"/>
    <w:rsid w:val="00E2357C"/>
    <w:rsid w:val="00E313C8"/>
    <w:rsid w:val="00E34A4E"/>
    <w:rsid w:val="00E35883"/>
    <w:rsid w:val="00E35AAC"/>
    <w:rsid w:val="00E512FD"/>
    <w:rsid w:val="00E614EE"/>
    <w:rsid w:val="00E65CB2"/>
    <w:rsid w:val="00E725E7"/>
    <w:rsid w:val="00E731E0"/>
    <w:rsid w:val="00E735C8"/>
    <w:rsid w:val="00E74628"/>
    <w:rsid w:val="00E77ABF"/>
    <w:rsid w:val="00E85966"/>
    <w:rsid w:val="00E85BDD"/>
    <w:rsid w:val="00E86320"/>
    <w:rsid w:val="00E87003"/>
    <w:rsid w:val="00E91E21"/>
    <w:rsid w:val="00E9657A"/>
    <w:rsid w:val="00EA0C87"/>
    <w:rsid w:val="00EA459A"/>
    <w:rsid w:val="00EA5B9C"/>
    <w:rsid w:val="00EC1ED2"/>
    <w:rsid w:val="00EC3EC9"/>
    <w:rsid w:val="00EC7744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21E31"/>
    <w:rsid w:val="00F338D8"/>
    <w:rsid w:val="00F33921"/>
    <w:rsid w:val="00F370A3"/>
    <w:rsid w:val="00F3779A"/>
    <w:rsid w:val="00F40600"/>
    <w:rsid w:val="00F41407"/>
    <w:rsid w:val="00F43257"/>
    <w:rsid w:val="00F50829"/>
    <w:rsid w:val="00F54E1F"/>
    <w:rsid w:val="00F57DF4"/>
    <w:rsid w:val="00F65391"/>
    <w:rsid w:val="00F6676E"/>
    <w:rsid w:val="00F676B0"/>
    <w:rsid w:val="00F71FCF"/>
    <w:rsid w:val="00F7204F"/>
    <w:rsid w:val="00F72424"/>
    <w:rsid w:val="00F752AF"/>
    <w:rsid w:val="00F75E6E"/>
    <w:rsid w:val="00F94E02"/>
    <w:rsid w:val="00F95BF6"/>
    <w:rsid w:val="00FA07FC"/>
    <w:rsid w:val="00FA2CC0"/>
    <w:rsid w:val="00FA2F7D"/>
    <w:rsid w:val="00FA3DCE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3DCE"/>
    <w:pPr>
      <w:widowControl w:val="0"/>
      <w:suppressAutoHyphens/>
      <w:spacing w:after="140"/>
      <w:jc w:val="both"/>
    </w:pPr>
    <w:rPr>
      <w:rFonts w:ascii="Arial Narrow" w:hAnsi="Arial Narrow" w:cs="Calibri"/>
      <w:kern w:val="1"/>
      <w:szCs w:val="24"/>
    </w:rPr>
  </w:style>
  <w:style w:type="paragraph" w:styleId="Nadpis1">
    <w:name w:val="heading 1"/>
    <w:basedOn w:val="Normlny"/>
    <w:next w:val="Zkladntext"/>
    <w:link w:val="Nadpis1Char"/>
    <w:uiPriority w:val="9"/>
    <w:qFormat/>
    <w:rsid w:val="00FA3DCE"/>
    <w:pPr>
      <w:keepNext/>
      <w:pageBreakBefore/>
      <w:widowControl/>
      <w:numPr>
        <w:numId w:val="1"/>
      </w:numPr>
      <w:spacing w:after="220"/>
      <w:jc w:val="left"/>
      <w:outlineLvl w:val="0"/>
    </w:pPr>
    <w:rPr>
      <w:rFonts w:cs="DejaVu Sans"/>
      <w:b/>
      <w:bCs/>
      <w:caps/>
      <w:color w:val="C00000"/>
      <w:kern w:val="32"/>
      <w:sz w:val="28"/>
      <w:szCs w:val="32"/>
    </w:rPr>
  </w:style>
  <w:style w:type="paragraph" w:styleId="Nadpis2">
    <w:name w:val="heading 2"/>
    <w:basedOn w:val="Normlny"/>
    <w:next w:val="Zkladntext"/>
    <w:link w:val="Nadpis2Char"/>
    <w:uiPriority w:val="9"/>
    <w:qFormat/>
    <w:rsid w:val="00FA3DCE"/>
    <w:pPr>
      <w:keepNext/>
      <w:widowControl/>
      <w:numPr>
        <w:ilvl w:val="1"/>
        <w:numId w:val="1"/>
      </w:numPr>
      <w:spacing w:before="200" w:after="200"/>
      <w:jc w:val="left"/>
      <w:outlineLvl w:val="1"/>
    </w:pPr>
    <w:rPr>
      <w:rFonts w:cs="DejaVu Sans"/>
      <w:b/>
      <w:bCs/>
      <w:iCs/>
      <w:caps/>
      <w:color w:val="C00000"/>
      <w:kern w:val="28"/>
      <w:sz w:val="24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65A2B"/>
    <w:pPr>
      <w:keepNext/>
      <w:keepLines/>
      <w:widowControl/>
      <w:numPr>
        <w:ilvl w:val="2"/>
        <w:numId w:val="1"/>
      </w:numPr>
      <w:spacing w:before="200"/>
      <w:jc w:val="left"/>
      <w:outlineLvl w:val="2"/>
    </w:pPr>
    <w:rPr>
      <w:rFonts w:eastAsiaTheme="majorEastAsia" w:cstheme="majorBidi"/>
      <w:b/>
      <w:bCs/>
      <w:i/>
      <w:caps/>
      <w:color w:val="C00000"/>
      <w:kern w:val="24"/>
      <w:sz w:val="2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F3D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F3D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F3D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FA3DCE"/>
    <w:rPr>
      <w:rFonts w:ascii="Arial Narrow" w:hAnsi="Arial Narrow" w:cs="DejaVu Sans"/>
      <w:b/>
      <w:bCs/>
      <w:caps/>
      <w:color w:val="C00000"/>
      <w:kern w:val="32"/>
      <w:sz w:val="28"/>
      <w:szCs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FA3DCE"/>
    <w:rPr>
      <w:rFonts w:ascii="Arial Narrow" w:hAnsi="Arial Narrow" w:cs="DejaVu Sans"/>
      <w:b/>
      <w:bCs/>
      <w:iCs/>
      <w:caps/>
      <w:color w:val="C00000"/>
      <w:kern w:val="28"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865A2B"/>
    <w:rPr>
      <w:rFonts w:ascii="Arial Narrow" w:eastAsiaTheme="majorEastAsia" w:hAnsi="Arial Narrow" w:cstheme="majorBidi"/>
      <w:b/>
      <w:bCs/>
      <w:i/>
      <w:caps/>
      <w:color w:val="C00000"/>
      <w:kern w:val="24"/>
      <w:sz w:val="22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DD2BC9"/>
    <w:rPr>
      <w:rFonts w:ascii="Calibri" w:hAnsi="Calibri" w:cs="Calibri"/>
      <w:sz w:val="22"/>
      <w:szCs w:val="22"/>
      <w:lang w:eastAsia="ar-SA" w:bidi="ar-SA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Obyajntext">
    <w:name w:val="Plain Text"/>
    <w:basedOn w:val="Normlny"/>
    <w:link w:val="ObyajntextChar"/>
    <w:uiPriority w:val="99"/>
    <w:unhideWhenUsed/>
    <w:rsid w:val="00E725E7"/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sid w:val="00E725E7"/>
    <w:rPr>
      <w:rFonts w:ascii="Consolas" w:hAnsi="Consolas" w:cs="Calibri"/>
      <w:kern w:val="1"/>
      <w:sz w:val="21"/>
      <w:szCs w:val="21"/>
    </w:rPr>
  </w:style>
  <w:style w:type="table" w:styleId="Mriekatabuky">
    <w:name w:val="Table Grid"/>
    <w:basedOn w:val="Normlnatabuka"/>
    <w:uiPriority w:val="59"/>
    <w:rsid w:val="00A52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7Char">
    <w:name w:val="Nadpis 7 Char"/>
    <w:basedOn w:val="Predvolenpsmoodseku"/>
    <w:link w:val="Nadpis7"/>
    <w:uiPriority w:val="9"/>
    <w:semiHidden/>
    <w:rsid w:val="009F3DE8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F3DE8"/>
    <w:rPr>
      <w:rFonts w:asciiTheme="majorHAnsi" w:eastAsiaTheme="majorEastAsia" w:hAnsiTheme="majorHAnsi" w:cstheme="majorBidi"/>
      <w:color w:val="404040" w:themeColor="text1" w:themeTint="BF"/>
      <w:kern w:val="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F3DE8"/>
    <w:rPr>
      <w:rFonts w:asciiTheme="majorHAnsi" w:eastAsiaTheme="majorEastAsia" w:hAnsiTheme="majorHAnsi" w:cstheme="majorBidi"/>
      <w:i/>
      <w:iCs/>
      <w:color w:val="404040" w:themeColor="text1" w:themeTint="BF"/>
      <w:kern w:val="1"/>
    </w:rPr>
  </w:style>
  <w:style w:type="paragraph" w:customStyle="1" w:styleId="zvyraznene">
    <w:name w:val="zvyraznene"/>
    <w:basedOn w:val="Normlny"/>
    <w:qFormat/>
    <w:rsid w:val="00D77337"/>
    <w:rPr>
      <w:b/>
      <w:caps/>
      <w:color w:val="C00000"/>
      <w:kern w:val="24"/>
    </w:rPr>
  </w:style>
  <w:style w:type="paragraph" w:styleId="Hlavika">
    <w:name w:val="header"/>
    <w:basedOn w:val="Normlny"/>
    <w:link w:val="HlavikaChar"/>
    <w:uiPriority w:val="99"/>
    <w:semiHidden/>
    <w:unhideWhenUsed/>
    <w:rsid w:val="009E6773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9E6773"/>
    <w:rPr>
      <w:rFonts w:ascii="Arial Narrow" w:hAnsi="Arial Narrow" w:cs="Calibri"/>
      <w:kern w:val="1"/>
      <w:sz w:val="24"/>
      <w:szCs w:val="24"/>
    </w:rPr>
  </w:style>
  <w:style w:type="paragraph" w:styleId="Pta">
    <w:name w:val="footer"/>
    <w:basedOn w:val="Normlny"/>
    <w:link w:val="PtaChar"/>
    <w:uiPriority w:val="99"/>
    <w:semiHidden/>
    <w:unhideWhenUsed/>
    <w:rsid w:val="009E6773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semiHidden/>
    <w:rsid w:val="009E6773"/>
    <w:rPr>
      <w:rFonts w:ascii="Arial Narrow" w:hAnsi="Arial Narrow" w:cs="Calibri"/>
      <w:kern w:val="1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677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6773"/>
    <w:rPr>
      <w:rFonts w:ascii="Tahoma" w:hAnsi="Tahoma" w:cs="Tahoma"/>
      <w:kern w:val="1"/>
      <w:sz w:val="16"/>
      <w:szCs w:val="16"/>
    </w:rPr>
  </w:style>
  <w:style w:type="paragraph" w:styleId="Bezriadkovania">
    <w:name w:val="No Spacing"/>
    <w:link w:val="BezriadkovaniaChar"/>
    <w:uiPriority w:val="1"/>
    <w:qFormat/>
    <w:rsid w:val="00DA11FE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DA11FE"/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y"/>
    <w:next w:val="Normlny"/>
    <w:autoRedefine/>
    <w:uiPriority w:val="39"/>
    <w:unhideWhenUsed/>
    <w:rsid w:val="00B94203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B94203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B94203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B94203"/>
    <w:rPr>
      <w:color w:val="0000FF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DD769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CCDBF583-F254-456F-818C-5B5DC5CC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26</Pages>
  <Words>16849</Words>
  <Characters>96045</Characters>
  <Application>Microsoft Office Word</Application>
  <DocSecurity>0</DocSecurity>
  <Lines>800</Lines>
  <Paragraphs>225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Analýza slovenského finančného sektora</vt:lpstr>
    </vt:vector>
  </TitlesOfParts>
  <Company/>
  <LinksUpToDate>false</LinksUpToDate>
  <CharactersWithSpaces>112669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Analýza slovenského finančného sektora</dc:title>
  <dc:creator>penickova</dc:creator>
  <cp:lastModifiedBy>penickova</cp:lastModifiedBy>
  <cp:revision>20</cp:revision>
  <dcterms:created xsi:type="dcterms:W3CDTF">2013-12-30T19:15:00Z</dcterms:created>
  <dcterms:modified xsi:type="dcterms:W3CDTF">2014-01-09T21:21:00Z</dcterms:modified>
</cp:coreProperties>
</file>