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11D" w:rsidRPr="007B0A30" w:rsidRDefault="0049211D" w:rsidP="0049211D">
      <w:pPr>
        <w:rPr>
          <w:highlight w:val="cyan"/>
        </w:rPr>
      </w:pPr>
      <w:r w:rsidRPr="007B0A30">
        <w:t xml:space="preserve">&amp;1 Hodnotenie žiaka a Monitorovanie kvality vyučovania </w:t>
      </w:r>
    </w:p>
    <w:p w:rsidR="0049211D" w:rsidRPr="007B0A30" w:rsidRDefault="0049211D" w:rsidP="0049211D">
      <w:proofErr w:type="gramStart"/>
      <w:r w:rsidRPr="007B0A30">
        <w:t>Pri hodnotení umeleckých predmetov nejde zvyčajne o formálny proces, dôsledkom toho je štúdium umenia málo známe.</w:t>
      </w:r>
      <w:proofErr w:type="gramEnd"/>
      <w:r w:rsidRPr="007B0A30">
        <w:t xml:space="preserve"> Podľa Anne Bamford (2009) to má dopad </w:t>
      </w:r>
      <w:proofErr w:type="gramStart"/>
      <w:r w:rsidRPr="007B0A30">
        <w:t>na</w:t>
      </w:r>
      <w:proofErr w:type="gramEnd"/>
      <w:r w:rsidRPr="007B0A30">
        <w:t xml:space="preserve"> postavenie umeleckého vzdelávania v rámci širšieho vzdelávacieho procesu. Skutočne </w:t>
      </w:r>
      <w:proofErr w:type="gramStart"/>
      <w:r w:rsidRPr="007B0A30">
        <w:t>sa</w:t>
      </w:r>
      <w:proofErr w:type="gramEnd"/>
      <w:r w:rsidRPr="007B0A30">
        <w:t xml:space="preserve"> zdá, že dobrá kvalita hodnotenia má priaznivé účinky na kvalitu kurikula v umeleckých predmetoch, keďže podporuje názor, že “umenie je významnou súčasťou uceleného vzdelávania dieťaťa” (Bamford, 2009. 20). Preto je skúmanie hodnotenia žiaka vhodné v štúdii, ktorá </w:t>
      </w:r>
      <w:proofErr w:type="gramStart"/>
      <w:r w:rsidRPr="007B0A30">
        <w:t>sa</w:t>
      </w:r>
      <w:proofErr w:type="gramEnd"/>
      <w:r w:rsidRPr="007B0A30">
        <w:t xml:space="preserve"> pokúša poskytnúť prehľad o stave umeleckého vzdelávania v Európe.</w:t>
      </w:r>
    </w:p>
    <w:p w:rsidR="0049211D" w:rsidRPr="007B0A30" w:rsidRDefault="0049211D" w:rsidP="0049211D">
      <w:r w:rsidRPr="007B0A30">
        <w:t xml:space="preserve">Prvá časť tejto kapitoly </w:t>
      </w:r>
      <w:proofErr w:type="gramStart"/>
      <w:r w:rsidRPr="007B0A30">
        <w:t>sa</w:t>
      </w:r>
      <w:proofErr w:type="gramEnd"/>
      <w:r w:rsidRPr="007B0A30">
        <w:t xml:space="preserve"> zameriava na hodnotenie žiaka, či sa robí interne alebo externe. Prvá časť </w:t>
      </w:r>
      <w:proofErr w:type="gramStart"/>
      <w:r w:rsidRPr="007B0A30">
        <w:t>sa</w:t>
      </w:r>
      <w:proofErr w:type="gramEnd"/>
      <w:r w:rsidRPr="007B0A30">
        <w:t xml:space="preserve"> zaoberá interným hodnotením, cieľom ktorého je identifikovať odporúčané typy hodnotenia a nástroje, ktoré sa používajú ako kritéria hodnotenia a stupnice. Okrem toho zdôrazňuje odporúčané stratégie </w:t>
      </w:r>
      <w:proofErr w:type="gramStart"/>
      <w:r w:rsidRPr="007B0A30">
        <w:t>na</w:t>
      </w:r>
      <w:proofErr w:type="gramEnd"/>
      <w:r w:rsidRPr="007B0A30">
        <w:t xml:space="preserve"> podporu talentovaných žiakov, alebo naopak tých žiakov, ktorí považujú umelecké predmety za problematické. Druhá časť stručne popisuje systém v niektorých štátoch, kde sú umelecké predmety hodnotené externe. Nakoniec, druhá časť poskytuje prehľad záverov národných správ o kvalite výučby umeleckých predmetov v jednotlivých štátoch.  </w:t>
      </w:r>
    </w:p>
    <w:p w:rsidR="0049211D" w:rsidRPr="007B0A30" w:rsidRDefault="0049211D" w:rsidP="0049211D">
      <w:r w:rsidRPr="007B0A30">
        <w:t xml:space="preserve">&amp;2 Hodnotenie žiaka </w:t>
      </w:r>
    </w:p>
    <w:p w:rsidR="0049211D" w:rsidRPr="007B0A30" w:rsidRDefault="0049211D" w:rsidP="0049211D">
      <w:proofErr w:type="gramStart"/>
      <w:r w:rsidRPr="007B0A30">
        <w:t>Hodnotenie žiaka môže byť interne alebo externé.</w:t>
      </w:r>
      <w:proofErr w:type="gramEnd"/>
      <w:r w:rsidRPr="007B0A30">
        <w:t xml:space="preserve"> </w:t>
      </w:r>
      <w:proofErr w:type="gramStart"/>
      <w:r w:rsidRPr="007B0A30">
        <w:t>V internom hodnotení sú zameranie hodnotenia ako aj použité metódy zväčša definované buď samotnými učiteľmi, alebo často aj inými predstaviteľmi školy.</w:t>
      </w:r>
      <w:proofErr w:type="gramEnd"/>
      <w:r w:rsidRPr="007B0A30">
        <w:t xml:space="preserve"> </w:t>
      </w:r>
      <w:proofErr w:type="gramStart"/>
      <w:r w:rsidRPr="007B0A30">
        <w:t>V externom hodnotení je podstata hodnotenia určená mimoškolskými inštitúciami.</w:t>
      </w:r>
      <w:proofErr w:type="gramEnd"/>
      <w:r w:rsidRPr="007B0A30">
        <w:t xml:space="preserve"> </w:t>
      </w:r>
    </w:p>
    <w:p w:rsidR="0049211D" w:rsidRPr="007B0A30" w:rsidRDefault="0049211D" w:rsidP="0049211D">
      <w:proofErr w:type="gramStart"/>
      <w:r w:rsidRPr="007B0A30">
        <w:t>Môžeme identifikovať dva základné typy hodnotenia.</w:t>
      </w:r>
      <w:proofErr w:type="gramEnd"/>
      <w:r w:rsidRPr="007B0A30">
        <w:t xml:space="preserve"> V prvom rade formatívne hodnotenie, ktorého cieľom je poskytnúť spätnú väzbu </w:t>
      </w:r>
      <w:proofErr w:type="gramStart"/>
      <w:r w:rsidRPr="007B0A30">
        <w:t>na</w:t>
      </w:r>
      <w:proofErr w:type="gramEnd"/>
      <w:r w:rsidRPr="007B0A30">
        <w:t xml:space="preserve"> prebiehajúci proces výučby a učenia. Po druhé celkové hodnotenie, ktoré potvrdzuje </w:t>
      </w:r>
      <w:proofErr w:type="gramStart"/>
      <w:r w:rsidRPr="007B0A30">
        <w:t>a</w:t>
      </w:r>
      <w:proofErr w:type="gramEnd"/>
      <w:r w:rsidRPr="007B0A30">
        <w:t xml:space="preserve"> osvedčuje rozsah v akom žiaci dosiahli požadovaný cieľ vedomostí. V mnohých štátoch </w:t>
      </w:r>
      <w:proofErr w:type="gramStart"/>
      <w:r w:rsidRPr="007B0A30">
        <w:t>sa</w:t>
      </w:r>
      <w:proofErr w:type="gramEnd"/>
      <w:r w:rsidRPr="007B0A30">
        <w:t xml:space="preserve"> uskutočňuje oboma spôsobmi, ako súčasť kurikula, aj ako mimoškolská činnosť. Umelecké vzdelávanie organizované v súvislosti s mimoškolskými aktivitami, ktorým </w:t>
      </w:r>
      <w:proofErr w:type="gramStart"/>
      <w:r w:rsidRPr="007B0A30">
        <w:t>sa</w:t>
      </w:r>
      <w:proofErr w:type="gramEnd"/>
      <w:r w:rsidRPr="007B0A30">
        <w:t xml:space="preserve"> zaoberali kapitoly 2 a 3, nespadá do rámca tejto kapitoly. </w:t>
      </w:r>
    </w:p>
    <w:p w:rsidR="0049211D" w:rsidRPr="007B0A30" w:rsidRDefault="0049211D" w:rsidP="0049211D">
      <w:r w:rsidRPr="007B0A30">
        <w:t xml:space="preserve">&amp;3 Interné hodnotenie žiakov </w:t>
      </w:r>
    </w:p>
    <w:p w:rsidR="0049211D" w:rsidRPr="007B0A30" w:rsidRDefault="0049211D" w:rsidP="0049211D">
      <w:r w:rsidRPr="007B0A30">
        <w:t>&amp;</w:t>
      </w:r>
      <w:proofErr w:type="gramStart"/>
      <w:r w:rsidRPr="007B0A30">
        <w:t>4  Typy</w:t>
      </w:r>
      <w:proofErr w:type="gramEnd"/>
      <w:r w:rsidRPr="007B0A30">
        <w:t xml:space="preserve"> hodnotenia a zodpovednosti</w:t>
      </w:r>
    </w:p>
    <w:p w:rsidR="0049211D" w:rsidRPr="007B0A30" w:rsidRDefault="0049211D" w:rsidP="0049211D">
      <w:r w:rsidRPr="007B0A30">
        <w:t xml:space="preserve">Prakticky </w:t>
      </w:r>
      <w:proofErr w:type="gramStart"/>
      <w:r w:rsidRPr="007B0A30">
        <w:t>vo</w:t>
      </w:r>
      <w:proofErr w:type="gramEnd"/>
      <w:r w:rsidRPr="007B0A30">
        <w:t xml:space="preserve"> všetkých štátoch sú umelecké predmety objektom formatívneho a celkového hodnotenia (školského vzdelávacieho programu) na úrovni ISCED 1 a 2. </w:t>
      </w:r>
      <w:proofErr w:type="gramStart"/>
      <w:r w:rsidRPr="007B0A30">
        <w:t>Existujú však aj výnimky.</w:t>
      </w:r>
      <w:proofErr w:type="gramEnd"/>
      <w:r w:rsidRPr="007B0A30">
        <w:t xml:space="preserve"> Na Cypre, v Maďarsku, Švédsku a Nórsku je absencia celkového hodnotenia </w:t>
      </w:r>
      <w:proofErr w:type="gramStart"/>
      <w:r w:rsidRPr="007B0A30">
        <w:t>na</w:t>
      </w:r>
      <w:proofErr w:type="gramEnd"/>
      <w:r w:rsidRPr="007B0A30">
        <w:t xml:space="preserve"> úrovni ISCED 1. Na Malte neexistuje celkové hodnotenie, s výnimkou žiakov </w:t>
      </w:r>
      <w:proofErr w:type="gramStart"/>
      <w:r w:rsidRPr="007B0A30">
        <w:t>na</w:t>
      </w:r>
      <w:proofErr w:type="gramEnd"/>
      <w:r w:rsidRPr="007B0A30">
        <w:t xml:space="preserve"> úrovni ISCED 2, ktorí navštevujú voliteľné predmety umenia alebo dizajnu. Zodpovednosť za hodnotenie spočíva </w:t>
      </w:r>
      <w:proofErr w:type="gramStart"/>
      <w:r w:rsidRPr="007B0A30">
        <w:t>na</w:t>
      </w:r>
      <w:proofErr w:type="gramEnd"/>
      <w:r w:rsidRPr="007B0A30">
        <w:t xml:space="preserve"> učiteľovi a často na ďalších predstaviteľoch školy, riaditeľovi alebo dokonca aj na školskej rade. Používané metódy sú zväčša ponechané </w:t>
      </w:r>
      <w:proofErr w:type="gramStart"/>
      <w:r w:rsidRPr="007B0A30">
        <w:t>na</w:t>
      </w:r>
      <w:proofErr w:type="gramEnd"/>
      <w:r w:rsidRPr="007B0A30">
        <w:t xml:space="preserve"> uvážení každého učiteľa. V závislosti </w:t>
      </w:r>
      <w:proofErr w:type="gramStart"/>
      <w:r w:rsidRPr="007B0A30">
        <w:t>od</w:t>
      </w:r>
      <w:proofErr w:type="gramEnd"/>
      <w:r w:rsidRPr="007B0A30">
        <w:t xml:space="preserve"> toho, čo sa hodnotí (napríklad vedomosti z umeleckého predmetu, umelecký proces alebo umelecký výsledok), môže byť hodnotenie uskutočnené samotnými žiakmi (sebahodnotenie), ich rovesníkmi alebo učiteľom. Učitelia môžu dávať testy, zadávať úlohy alebo pripraviť projekty, ktoré </w:t>
      </w:r>
      <w:proofErr w:type="gramStart"/>
      <w:r w:rsidRPr="007B0A30">
        <w:t>sa</w:t>
      </w:r>
      <w:proofErr w:type="gramEnd"/>
      <w:r w:rsidRPr="007B0A30">
        <w:t xml:space="preserve"> potom hodnotia. </w:t>
      </w:r>
      <w:proofErr w:type="gramStart"/>
      <w:r w:rsidRPr="007B0A30">
        <w:t>Učiteľ môže tiež požiadať žiakov, aby napísali krátke referáty alebo zostavili portfólio svojej práce vychádzajúce z určitých kritérií.</w:t>
      </w:r>
      <w:proofErr w:type="gramEnd"/>
      <w:r w:rsidRPr="007B0A30">
        <w:t xml:space="preserve">  </w:t>
      </w:r>
    </w:p>
    <w:p w:rsidR="0049211D" w:rsidRPr="007B0A30" w:rsidRDefault="0049211D" w:rsidP="0049211D">
      <w:proofErr w:type="gramStart"/>
      <w:r w:rsidRPr="007B0A30">
        <w:t>V Českej republike rozhoduje o forme posudzovania riaditeľ školy (známkou, ústnym komentárom alebo kombináciou oboch).</w:t>
      </w:r>
      <w:proofErr w:type="gramEnd"/>
      <w:r w:rsidRPr="007B0A30">
        <w:t xml:space="preserve"> Na Slovensku </w:t>
      </w:r>
      <w:proofErr w:type="gramStart"/>
      <w:r w:rsidRPr="007B0A30">
        <w:t>sa</w:t>
      </w:r>
      <w:proofErr w:type="gramEnd"/>
      <w:r w:rsidRPr="007B0A30">
        <w:t xml:space="preserve"> hodnotenie žiakov v 1. </w:t>
      </w:r>
      <w:proofErr w:type="gramStart"/>
      <w:r w:rsidRPr="007B0A30">
        <w:t>ročníku</w:t>
      </w:r>
      <w:proofErr w:type="gramEnd"/>
      <w:r w:rsidRPr="007B0A30">
        <w:t xml:space="preserve"> robí verbálne. </w:t>
      </w:r>
      <w:proofErr w:type="gramStart"/>
      <w:r w:rsidRPr="007B0A30">
        <w:t>Od</w:t>
      </w:r>
      <w:proofErr w:type="gramEnd"/>
      <w:r w:rsidRPr="007B0A30">
        <w:t xml:space="preserve"> 2. </w:t>
      </w:r>
      <w:proofErr w:type="gramStart"/>
      <w:r w:rsidRPr="007B0A30">
        <w:t>do</w:t>
      </w:r>
      <w:proofErr w:type="gramEnd"/>
      <w:r w:rsidRPr="007B0A30">
        <w:t xml:space="preserve"> 9. </w:t>
      </w:r>
      <w:proofErr w:type="gramStart"/>
      <w:r w:rsidRPr="007B0A30">
        <w:t>ročníka</w:t>
      </w:r>
      <w:proofErr w:type="gramEnd"/>
      <w:r w:rsidRPr="007B0A30">
        <w:t xml:space="preserve"> sa môžu používať známky, rozhodnutie týkajúce sa charakteru známkovacieho systému robí riaditeľ školy a pedagogická rada. </w:t>
      </w:r>
    </w:p>
    <w:p w:rsidR="0049211D" w:rsidRPr="007B0A30" w:rsidRDefault="0049211D" w:rsidP="0049211D">
      <w:proofErr w:type="gramStart"/>
      <w:r w:rsidRPr="007B0A30">
        <w:t>Táto profesionálna zodpovednosť je uplatňovaná v rámci stanoveného rámca daného centrálnymi alebo regionálnymi školskými inštitúciami.</w:t>
      </w:r>
      <w:proofErr w:type="gramEnd"/>
      <w:r w:rsidRPr="007B0A30">
        <w:t xml:space="preserve"> V závislosti </w:t>
      </w:r>
      <w:proofErr w:type="gramStart"/>
      <w:r w:rsidRPr="007B0A30">
        <w:t>od</w:t>
      </w:r>
      <w:proofErr w:type="gramEnd"/>
      <w:r w:rsidRPr="007B0A30">
        <w:t xml:space="preserve"> štátu stanovený rámec zahŕňa predpisy alebo odporúčania o používanom type hodnotenia, určitých nástrojov hodnotenia (kritériá kvality, stupnice hodnotenia, atď.) alebo dokonca postupu (frekvencia hodnotení, ako sú podané výsledky, atď.). Napríklad Grécko je štát, v ktorom mnoho aspektov hodnotenia, procedúry a metódy, stanovujú centrálne školské inštitúcie </w:t>
      </w:r>
      <w:proofErr w:type="gramStart"/>
      <w:r w:rsidRPr="007B0A30">
        <w:t>na</w:t>
      </w:r>
      <w:proofErr w:type="gramEnd"/>
      <w:r w:rsidRPr="007B0A30">
        <w:t xml:space="preserve"> základe národnej kurikulárnej metodiky, ako aj školských príručiek. Naopak, Maďarsko je dobrým príkladom vzdelávacieho systému, v ktorom školy </w:t>
      </w:r>
      <w:proofErr w:type="gramStart"/>
      <w:r w:rsidRPr="007B0A30">
        <w:t>a</w:t>
      </w:r>
      <w:proofErr w:type="gramEnd"/>
      <w:r w:rsidRPr="007B0A30">
        <w:t xml:space="preserve"> učitelia majú veľkú autonómiu.  </w:t>
      </w:r>
    </w:p>
    <w:p w:rsidR="0049211D" w:rsidRPr="007B0A30" w:rsidRDefault="0049211D" w:rsidP="0049211D">
      <w:r w:rsidRPr="007B0A30">
        <w:lastRenderedPageBreak/>
        <w:t>&amp;</w:t>
      </w:r>
      <w:proofErr w:type="gramStart"/>
      <w:r w:rsidRPr="007B0A30">
        <w:t>4  Nástroje</w:t>
      </w:r>
      <w:proofErr w:type="gramEnd"/>
      <w:r w:rsidRPr="007B0A30">
        <w:t xml:space="preserve"> hodnotenia </w:t>
      </w:r>
    </w:p>
    <w:p w:rsidR="0049211D" w:rsidRPr="007B0A30" w:rsidRDefault="0049211D" w:rsidP="0049211D">
      <w:proofErr w:type="gramStart"/>
      <w:r w:rsidRPr="007B0A30">
        <w:t>Zvyčajne je hodnotenie procesom zodpovednosťou učiteľov, ale niektoré aspekty sú predsa len obsahom odporúčaní alebo dokonca smernicami vydávanými centrálnymi školskými inštitúciami.</w:t>
      </w:r>
      <w:proofErr w:type="gramEnd"/>
      <w:r w:rsidRPr="007B0A30">
        <w:t xml:space="preserve"> </w:t>
      </w:r>
      <w:proofErr w:type="gramStart"/>
      <w:r w:rsidRPr="007B0A30">
        <w:t>V niekoľkých štátoch to platí tiež pre hodnotiace kritériá, ako aj pre hodnotiace stupnice.</w:t>
      </w:r>
      <w:proofErr w:type="gramEnd"/>
      <w:r w:rsidRPr="007B0A30">
        <w:t xml:space="preserve"> </w:t>
      </w:r>
    </w:p>
    <w:p w:rsidR="0049211D" w:rsidRPr="007B0A30" w:rsidRDefault="0049211D" w:rsidP="0049211D">
      <w:r w:rsidRPr="007B0A30">
        <w:t xml:space="preserve">Kritérium je nástroj zostavený z dvoch elementov: parametra (alebo predmetu hodnotenia) </w:t>
      </w:r>
      <w:proofErr w:type="gramStart"/>
      <w:r w:rsidRPr="007B0A30">
        <w:t>a</w:t>
      </w:r>
      <w:proofErr w:type="gramEnd"/>
      <w:r w:rsidRPr="007B0A30">
        <w:t xml:space="preserve"> úrovne požiadavky (odkaz, ktorým môže byť štandard, pravidlo alebo úroveň znalosti). Je to nástroj </w:t>
      </w:r>
      <w:proofErr w:type="gramStart"/>
      <w:r w:rsidRPr="007B0A30">
        <w:t>na</w:t>
      </w:r>
      <w:proofErr w:type="gramEnd"/>
      <w:r w:rsidRPr="007B0A30">
        <w:t xml:space="preserve"> vytvoreniu posudku. Stupnica umožňuje pretransformovať alebo preniesť výsledok hodnotenia </w:t>
      </w:r>
      <w:proofErr w:type="gramStart"/>
      <w:r w:rsidRPr="007B0A30">
        <w:t>vo</w:t>
      </w:r>
      <w:proofErr w:type="gramEnd"/>
      <w:r w:rsidRPr="007B0A30">
        <w:t xml:space="preserve"> forme posudku. </w:t>
      </w:r>
    </w:p>
    <w:p w:rsidR="0049211D" w:rsidRPr="007B0A30" w:rsidRDefault="0049211D" w:rsidP="0049211D"/>
    <w:p w:rsidR="0049211D" w:rsidRPr="007B0A30" w:rsidRDefault="0049211D" w:rsidP="0049211D">
      <w:r w:rsidRPr="007B0A30">
        <w:t xml:space="preserve">&amp;4 Kritériá hodnotenia </w:t>
      </w:r>
    </w:p>
    <w:p w:rsidR="0049211D" w:rsidRPr="007B0A30" w:rsidRDefault="0049211D" w:rsidP="0049211D">
      <w:r w:rsidRPr="007B0A30">
        <w:t xml:space="preserve">Pedagogický výskum dokazuje, že efektívne hodnotenie vyžaduje, aby </w:t>
      </w:r>
      <w:proofErr w:type="gramStart"/>
      <w:r w:rsidRPr="007B0A30">
        <w:t>mali</w:t>
      </w:r>
      <w:proofErr w:type="gramEnd"/>
      <w:r w:rsidRPr="007B0A30">
        <w:t xml:space="preserve"> učitelia jasné a špecifické ciele, aby používali explicitné kritériá pri utváraní posudkov a aby zabezpečili dobrú kombináciu medzi hodnotenou úlohou a kritériom hodnotenia (Black and William, 1998; Harlen, 2004).</w:t>
      </w:r>
    </w:p>
    <w:p w:rsidR="0049211D" w:rsidRPr="007B0A30" w:rsidRDefault="0049211D" w:rsidP="0049211D">
      <w:proofErr w:type="gramStart"/>
      <w:r w:rsidRPr="007B0A30">
        <w:t>Vo</w:t>
      </w:r>
      <w:proofErr w:type="gramEnd"/>
      <w:r w:rsidRPr="007B0A30">
        <w:t xml:space="preserve"> väčšine štátov študijné programy vypracované centrálnymi školskými inštitúciami definujú študijné ciele alebo zručnosti, ktoré žiaci majú získať (pozri národné popisy na webovej stránke). </w:t>
      </w:r>
      <w:proofErr w:type="gramStart"/>
      <w:r w:rsidRPr="007B0A30">
        <w:t>Učitelia potom zodpovedajú za stanovenie kritérií hodnotenia vychádzajúcich zo stanovených cieľoch alebo zručností.</w:t>
      </w:r>
      <w:proofErr w:type="gramEnd"/>
      <w:r w:rsidRPr="007B0A30">
        <w:t xml:space="preserve"> </w:t>
      </w:r>
      <w:proofErr w:type="gramStart"/>
      <w:r w:rsidRPr="007B0A30">
        <w:t>Tento model existuje v mnohých štátoch, konkrétne v Českej republike, Španielsku, Grécku, Lotyšsku a v Portugalsku.</w:t>
      </w:r>
      <w:proofErr w:type="gramEnd"/>
      <w:r w:rsidRPr="007B0A30">
        <w:t xml:space="preserve"> </w:t>
      </w:r>
    </w:p>
    <w:p w:rsidR="0049211D" w:rsidRPr="007B0A30" w:rsidRDefault="0049211D" w:rsidP="0049211D">
      <w:r w:rsidRPr="007B0A30">
        <w:t xml:space="preserve">Ako znázorňuje mapa v ukazovateli 4.1, </w:t>
      </w:r>
      <w:proofErr w:type="gramStart"/>
      <w:r w:rsidRPr="007B0A30">
        <w:t>vo</w:t>
      </w:r>
      <w:proofErr w:type="gramEnd"/>
      <w:r w:rsidRPr="007B0A30">
        <w:t xml:space="preserve"> vyše dvoch tretinách skúmaných vzdelávacích systémov nie sú vytvorené žiadne kritériá na hodnotenie výučby umeleckých predmetov, ktoré by boli dané k dispozícii učiteľom z centrálnych školských inštitúcií. To znamená, že učitelia </w:t>
      </w:r>
      <w:proofErr w:type="gramStart"/>
      <w:r w:rsidRPr="007B0A30">
        <w:t>vo</w:t>
      </w:r>
      <w:proofErr w:type="gramEnd"/>
      <w:r w:rsidRPr="007B0A30">
        <w:t xml:space="preserve"> svojich triedach alebo so svojimi kolegami v škole, musia vypracovať hodnotiace kritériá. Ako uvádza Belgicko (Flámske spoločenstvo), takýto postup vyžaduje </w:t>
      </w:r>
      <w:proofErr w:type="gramStart"/>
      <w:r w:rsidRPr="007B0A30">
        <w:t>od</w:t>
      </w:r>
      <w:proofErr w:type="gramEnd"/>
      <w:r w:rsidRPr="007B0A30">
        <w:t xml:space="preserve"> učiteľov určité špecifické zručnosti. Litva tiež poukazuje </w:t>
      </w:r>
      <w:proofErr w:type="gramStart"/>
      <w:r w:rsidRPr="007B0A30">
        <w:t>na</w:t>
      </w:r>
      <w:proofErr w:type="gramEnd"/>
      <w:r w:rsidRPr="007B0A30">
        <w:t xml:space="preserve"> to, že pre absenciu kritérií stanovených mimo školy hrozí, že učiteľské posudky môžu byť ovplyvňované školskými tradíciami vo vyučovaní umeleckých predmetov. </w:t>
      </w:r>
    </w:p>
    <w:p w:rsidR="0049211D" w:rsidRPr="007B0A30" w:rsidRDefault="0049211D" w:rsidP="0049211D">
      <w:r>
        <w:rPr>
          <w:noProof/>
          <w:lang w:val="sk-SK" w:eastAsia="sk-SK"/>
        </w:rPr>
        <w:drawing>
          <wp:inline distT="0" distB="0" distL="0" distR="0">
            <wp:extent cx="5845175" cy="143510"/>
            <wp:effectExtent l="19050" t="0" r="3175" b="0"/>
            <wp:docPr id="1" name="Obrázok 1" descr="U:\026_School_autonomy\graph\leg\leg_ouverture.ep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026_School_autonomy\graph\leg\leg_ouverture.eps  "/>
                    <pic:cNvPicPr>
                      <a:picLocks noChangeAspect="1" noChangeArrowheads="1"/>
                    </pic:cNvPicPr>
                  </pic:nvPicPr>
                  <pic:blipFill>
                    <a:blip r:embed="rId7"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49211D" w:rsidRPr="007B0A30" w:rsidRDefault="0049211D" w:rsidP="0049211D">
      <w:bookmarkStart w:id="0" w:name="_Toc243729086"/>
      <w:r w:rsidRPr="007B0A30">
        <w:t xml:space="preserve">Ukazovateľ 4.1: Kritériá hodnotenia umeleckých predmetov, </w:t>
      </w:r>
      <w:r w:rsidRPr="007B0A30">
        <w:br/>
        <w:t>úroveň ISCED 1 a 2, 2007/08</w:t>
      </w:r>
      <w:bookmarkEnd w:id="0"/>
    </w:p>
    <w:tbl>
      <w:tblPr>
        <w:tblW w:w="8976" w:type="dxa"/>
        <w:tblInd w:w="137" w:type="dxa"/>
        <w:tblLayout w:type="fixed"/>
        <w:tblLook w:val="0000"/>
      </w:tblPr>
      <w:tblGrid>
        <w:gridCol w:w="5860"/>
        <w:gridCol w:w="540"/>
        <w:gridCol w:w="2576"/>
      </w:tblGrid>
      <w:tr w:rsidR="0049211D" w:rsidRPr="007B0A30" w:rsidTr="005A72A4">
        <w:trPr>
          <w:cantSplit/>
          <w:trHeight w:val="1400"/>
        </w:trPr>
        <w:tc>
          <w:tcPr>
            <w:tcW w:w="5860" w:type="dxa"/>
            <w:vMerge w:val="restart"/>
            <w:tcMar>
              <w:left w:w="57" w:type="dxa"/>
              <w:right w:w="57" w:type="dxa"/>
            </w:tcMar>
          </w:tcPr>
          <w:p w:rsidR="0049211D" w:rsidRPr="007B0A30" w:rsidRDefault="0049211D" w:rsidP="005A72A4">
            <w:r>
              <w:rPr>
                <w:noProof/>
                <w:lang w:val="sk-SK" w:eastAsia="sk-SK"/>
              </w:rPr>
              <w:drawing>
                <wp:inline distT="0" distB="0" distL="0" distR="0">
                  <wp:extent cx="3065780" cy="3585845"/>
                  <wp:effectExtent l="19050" t="0" r="1270" b="0"/>
                  <wp:docPr id="2" name="Obrázok 2" descr="G:\Local Settings\Temporary Internet Files\graph\4_1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ocal Settings\Temporary Internet Files\graph\4_1m.bmp"/>
                          <pic:cNvPicPr>
                            <a:picLocks noChangeAspect="1" noChangeArrowheads="1"/>
                          </pic:cNvPicPr>
                        </pic:nvPicPr>
                        <pic:blipFill>
                          <a:blip r:embed="rId8" cstate="print"/>
                          <a:srcRect/>
                          <a:stretch>
                            <a:fillRect/>
                          </a:stretch>
                        </pic:blipFill>
                        <pic:spPr bwMode="auto">
                          <a:xfrm>
                            <a:off x="0" y="0"/>
                            <a:ext cx="3065780" cy="3585845"/>
                          </a:xfrm>
                          <a:prstGeom prst="rect">
                            <a:avLst/>
                          </a:prstGeom>
                          <a:noFill/>
                          <a:ln w="9525">
                            <a:noFill/>
                            <a:miter lim="800000"/>
                            <a:headEnd/>
                            <a:tailEnd/>
                          </a:ln>
                        </pic:spPr>
                      </pic:pic>
                    </a:graphicData>
                  </a:graphic>
                </wp:inline>
              </w:drawing>
            </w:r>
          </w:p>
        </w:tc>
        <w:tc>
          <w:tcPr>
            <w:tcW w:w="540" w:type="dxa"/>
          </w:tcPr>
          <w:p w:rsidR="0049211D" w:rsidRPr="007B0A30" w:rsidRDefault="0049211D" w:rsidP="005A72A4"/>
        </w:tc>
        <w:tc>
          <w:tcPr>
            <w:tcW w:w="2576" w:type="dxa"/>
          </w:tcPr>
          <w:p w:rsidR="0049211D" w:rsidRPr="007B0A30" w:rsidRDefault="0049211D" w:rsidP="005A72A4"/>
        </w:tc>
      </w:tr>
      <w:tr w:rsidR="0049211D" w:rsidRPr="007B0A30" w:rsidTr="005A72A4">
        <w:trPr>
          <w:cantSplit/>
          <w:trHeight w:val="538"/>
        </w:trPr>
        <w:tc>
          <w:tcPr>
            <w:tcW w:w="5860" w:type="dxa"/>
            <w:vMerge/>
            <w:tcMar>
              <w:left w:w="57" w:type="dxa"/>
              <w:right w:w="57" w:type="dxa"/>
            </w:tcMar>
          </w:tcPr>
          <w:p w:rsidR="0049211D" w:rsidRPr="007B0A30" w:rsidRDefault="0049211D" w:rsidP="005A72A4"/>
        </w:tc>
        <w:tc>
          <w:tcPr>
            <w:tcW w:w="540" w:type="dxa"/>
            <w:vAlign w:val="center"/>
          </w:tcPr>
          <w:p w:rsidR="0049211D" w:rsidRPr="007B0A30" w:rsidRDefault="0049211D" w:rsidP="005A72A4"/>
        </w:tc>
        <w:tc>
          <w:tcPr>
            <w:tcW w:w="2576" w:type="dxa"/>
            <w:vAlign w:val="center"/>
          </w:tcPr>
          <w:p w:rsidR="0049211D" w:rsidRPr="007B0A30" w:rsidRDefault="0049211D" w:rsidP="005A72A4"/>
        </w:tc>
      </w:tr>
      <w:tr w:rsidR="0049211D" w:rsidRPr="007B0A30" w:rsidTr="005A72A4">
        <w:trPr>
          <w:cantSplit/>
          <w:trHeight w:val="272"/>
        </w:trPr>
        <w:tc>
          <w:tcPr>
            <w:tcW w:w="5860" w:type="dxa"/>
            <w:vMerge/>
            <w:tcMar>
              <w:left w:w="57" w:type="dxa"/>
              <w:right w:w="57" w:type="dxa"/>
            </w:tcMar>
          </w:tcPr>
          <w:p w:rsidR="0049211D" w:rsidRPr="007B0A30" w:rsidRDefault="0049211D" w:rsidP="005A72A4"/>
        </w:tc>
        <w:tc>
          <w:tcPr>
            <w:tcW w:w="540" w:type="dxa"/>
            <w:vAlign w:val="center"/>
          </w:tcPr>
          <w:p w:rsidR="0049211D" w:rsidRPr="007B0A30" w:rsidRDefault="0049211D" w:rsidP="005A72A4"/>
        </w:tc>
        <w:tc>
          <w:tcPr>
            <w:tcW w:w="2576" w:type="dxa"/>
            <w:vAlign w:val="center"/>
          </w:tcPr>
          <w:p w:rsidR="0049211D" w:rsidRPr="007B0A30" w:rsidRDefault="0049211D" w:rsidP="005A72A4"/>
        </w:tc>
      </w:tr>
      <w:tr w:rsidR="0049211D" w:rsidRPr="007B0A30" w:rsidTr="005A72A4">
        <w:trPr>
          <w:cantSplit/>
          <w:trHeight w:val="538"/>
        </w:trPr>
        <w:tc>
          <w:tcPr>
            <w:tcW w:w="5860" w:type="dxa"/>
            <w:vMerge/>
            <w:tcMar>
              <w:left w:w="57" w:type="dxa"/>
              <w:right w:w="57" w:type="dxa"/>
            </w:tcMar>
          </w:tcPr>
          <w:p w:rsidR="0049211D" w:rsidRPr="007B0A30" w:rsidRDefault="0049211D" w:rsidP="005A72A4"/>
        </w:tc>
        <w:tc>
          <w:tcPr>
            <w:tcW w:w="540" w:type="dxa"/>
            <w:vAlign w:val="center"/>
          </w:tcPr>
          <w:p w:rsidR="0049211D" w:rsidRPr="007B0A30" w:rsidRDefault="0049211D" w:rsidP="005A72A4">
            <w:r>
              <w:rPr>
                <w:noProof/>
                <w:lang w:val="sk-SK" w:eastAsia="sk-SK"/>
              </w:rPr>
              <w:drawing>
                <wp:inline distT="0" distB="0" distL="0" distR="0">
                  <wp:extent cx="125730" cy="125730"/>
                  <wp:effectExtent l="19050" t="0" r="7620" b="0"/>
                  <wp:docPr id="3" name="Obrázok 3" descr="G:\Eurydice_Studies_Databases\030_Technical_Tools\leg\leg_484_5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urydice_Studies_Databases\030_Technical_Tools\leg\leg_484_55.bmp"/>
                          <pic:cNvPicPr>
                            <a:picLocks noChangeAspect="1" noChangeArrowheads="1"/>
                          </pic:cNvPicPr>
                        </pic:nvPicPr>
                        <pic:blipFill>
                          <a:blip r:embed="rId9" cstate="print"/>
                          <a:srcRect/>
                          <a:stretch>
                            <a:fillRect/>
                          </a:stretch>
                        </pic:blipFill>
                        <pic:spPr bwMode="auto">
                          <a:xfrm>
                            <a:off x="0" y="0"/>
                            <a:ext cx="125730" cy="125730"/>
                          </a:xfrm>
                          <a:prstGeom prst="rect">
                            <a:avLst/>
                          </a:prstGeom>
                          <a:noFill/>
                          <a:ln w="9525">
                            <a:noFill/>
                            <a:miter lim="800000"/>
                            <a:headEnd/>
                            <a:tailEnd/>
                          </a:ln>
                        </pic:spPr>
                      </pic:pic>
                    </a:graphicData>
                  </a:graphic>
                </wp:inline>
              </w:drawing>
            </w:r>
          </w:p>
        </w:tc>
        <w:tc>
          <w:tcPr>
            <w:tcW w:w="2576" w:type="dxa"/>
            <w:vAlign w:val="center"/>
          </w:tcPr>
          <w:p w:rsidR="0049211D" w:rsidRPr="007B0A30" w:rsidRDefault="0049211D" w:rsidP="005A72A4">
            <w:r w:rsidRPr="007B0A30">
              <w:t xml:space="preserve">Existencia kritérií hodnotenia v umeleckých predmetoch </w:t>
            </w:r>
          </w:p>
        </w:tc>
      </w:tr>
      <w:tr w:rsidR="0049211D" w:rsidRPr="007B0A30" w:rsidTr="005A72A4">
        <w:trPr>
          <w:cantSplit/>
          <w:trHeight w:val="559"/>
        </w:trPr>
        <w:tc>
          <w:tcPr>
            <w:tcW w:w="5860" w:type="dxa"/>
            <w:vMerge/>
            <w:tcMar>
              <w:left w:w="57" w:type="dxa"/>
              <w:right w:w="57" w:type="dxa"/>
            </w:tcMar>
          </w:tcPr>
          <w:p w:rsidR="0049211D" w:rsidRPr="007B0A30" w:rsidRDefault="0049211D" w:rsidP="005A72A4"/>
        </w:tc>
        <w:tc>
          <w:tcPr>
            <w:tcW w:w="540" w:type="dxa"/>
            <w:vAlign w:val="center"/>
          </w:tcPr>
          <w:p w:rsidR="0049211D" w:rsidRPr="007B0A30" w:rsidRDefault="0049211D" w:rsidP="005A72A4">
            <w:r>
              <w:rPr>
                <w:noProof/>
                <w:lang w:val="sk-SK" w:eastAsia="sk-SK"/>
              </w:rPr>
              <w:drawing>
                <wp:inline distT="0" distB="0" distL="0" distR="0">
                  <wp:extent cx="125730" cy="125730"/>
                  <wp:effectExtent l="19050" t="0" r="7620" b="0"/>
                  <wp:docPr id="4" name="Obrázok 4" descr="G:\Eurydice_Studies_Databases\030_Technical_Tools\leg\leg_654_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urydice_Studies_Databases\030_Technical_Tools\leg\leg_654_20.bmp"/>
                          <pic:cNvPicPr>
                            <a:picLocks noChangeAspect="1" noChangeArrowheads="1"/>
                          </pic:cNvPicPr>
                        </pic:nvPicPr>
                        <pic:blipFill>
                          <a:blip r:embed="rId10" cstate="print"/>
                          <a:srcRect/>
                          <a:stretch>
                            <a:fillRect/>
                          </a:stretch>
                        </pic:blipFill>
                        <pic:spPr bwMode="auto">
                          <a:xfrm>
                            <a:off x="0" y="0"/>
                            <a:ext cx="125730" cy="125730"/>
                          </a:xfrm>
                          <a:prstGeom prst="rect">
                            <a:avLst/>
                          </a:prstGeom>
                          <a:noFill/>
                          <a:ln w="9525">
                            <a:noFill/>
                            <a:miter lim="800000"/>
                            <a:headEnd/>
                            <a:tailEnd/>
                          </a:ln>
                        </pic:spPr>
                      </pic:pic>
                    </a:graphicData>
                  </a:graphic>
                </wp:inline>
              </w:drawing>
            </w:r>
          </w:p>
        </w:tc>
        <w:tc>
          <w:tcPr>
            <w:tcW w:w="2576" w:type="dxa"/>
            <w:vAlign w:val="center"/>
          </w:tcPr>
          <w:p w:rsidR="0049211D" w:rsidRPr="007B0A30" w:rsidRDefault="0049211D" w:rsidP="005A72A4">
            <w:r w:rsidRPr="007B0A30">
              <w:t>Nie sú kritériá hodnotenia v umeleckých predmetoch</w:t>
            </w:r>
          </w:p>
        </w:tc>
      </w:tr>
      <w:tr w:rsidR="0049211D" w:rsidRPr="007B0A30" w:rsidTr="005A72A4">
        <w:trPr>
          <w:cantSplit/>
          <w:trHeight w:val="1443"/>
        </w:trPr>
        <w:tc>
          <w:tcPr>
            <w:tcW w:w="5860" w:type="dxa"/>
            <w:vMerge/>
            <w:tcMar>
              <w:left w:w="57" w:type="dxa"/>
              <w:right w:w="57" w:type="dxa"/>
            </w:tcMar>
          </w:tcPr>
          <w:p w:rsidR="0049211D" w:rsidRPr="007B0A30" w:rsidRDefault="0049211D" w:rsidP="005A72A4"/>
        </w:tc>
        <w:tc>
          <w:tcPr>
            <w:tcW w:w="540" w:type="dxa"/>
            <w:vAlign w:val="center"/>
          </w:tcPr>
          <w:p w:rsidR="0049211D" w:rsidRPr="007B0A30" w:rsidRDefault="0049211D" w:rsidP="005A72A4"/>
        </w:tc>
        <w:tc>
          <w:tcPr>
            <w:tcW w:w="2576" w:type="dxa"/>
            <w:vAlign w:val="center"/>
          </w:tcPr>
          <w:p w:rsidR="0049211D" w:rsidRPr="007B0A30" w:rsidRDefault="0049211D" w:rsidP="005A72A4"/>
        </w:tc>
      </w:tr>
      <w:tr w:rsidR="0049211D" w:rsidRPr="007B0A30" w:rsidTr="005A72A4">
        <w:trPr>
          <w:cantSplit/>
        </w:trPr>
        <w:tc>
          <w:tcPr>
            <w:tcW w:w="8976" w:type="dxa"/>
            <w:gridSpan w:val="3"/>
            <w:tcMar>
              <w:left w:w="57" w:type="dxa"/>
              <w:right w:w="57" w:type="dxa"/>
            </w:tcMar>
          </w:tcPr>
          <w:p w:rsidR="0049211D" w:rsidRPr="007B0A30" w:rsidRDefault="0049211D" w:rsidP="005A72A4">
            <w:r w:rsidRPr="007B0A30">
              <w:t>Zdroj: Eurydice</w:t>
            </w:r>
          </w:p>
        </w:tc>
      </w:tr>
    </w:tbl>
    <w:p w:rsidR="0049211D" w:rsidRPr="007B0A30" w:rsidRDefault="0049211D" w:rsidP="0049211D">
      <w:r w:rsidRPr="007B0A30">
        <w:t>Doplňujúce poznámky</w:t>
      </w:r>
    </w:p>
    <w:p w:rsidR="0049211D" w:rsidRPr="007B0A30" w:rsidRDefault="0049211D" w:rsidP="0049211D">
      <w:r w:rsidRPr="007B0A30">
        <w:t xml:space="preserve">Bulharsko: Informácie nie sú overené </w:t>
      </w:r>
      <w:proofErr w:type="gramStart"/>
      <w:r w:rsidRPr="007B0A30">
        <w:t>na</w:t>
      </w:r>
      <w:proofErr w:type="gramEnd"/>
      <w:r w:rsidRPr="007B0A30">
        <w:t xml:space="preserve"> národnej úrovni.</w:t>
      </w:r>
    </w:p>
    <w:p w:rsidR="0049211D" w:rsidRPr="007B0A30" w:rsidRDefault="0049211D" w:rsidP="0049211D">
      <w:r w:rsidRPr="007B0A30">
        <w:t xml:space="preserve">Dánsko: Kritériá hodnotenia existujú iba v ročníkoch 8. </w:t>
      </w:r>
      <w:proofErr w:type="gramStart"/>
      <w:r w:rsidRPr="007B0A30">
        <w:t>a</w:t>
      </w:r>
      <w:proofErr w:type="gramEnd"/>
      <w:r w:rsidRPr="007B0A30">
        <w:t xml:space="preserve"> 9., kde si žiaci môžu voliť umelecké predmety. Pre iné vekové skupiny robia učitelia hodnotenia </w:t>
      </w:r>
      <w:proofErr w:type="gramStart"/>
      <w:r w:rsidRPr="007B0A30">
        <w:t>na</w:t>
      </w:r>
      <w:proofErr w:type="gramEnd"/>
      <w:r w:rsidRPr="007B0A30">
        <w:t xml:space="preserve"> základe spoločných cieľov definovaných pre každý ročník štúdia.</w:t>
      </w:r>
    </w:p>
    <w:p w:rsidR="0049211D" w:rsidRPr="007B0A30" w:rsidRDefault="0049211D" w:rsidP="0049211D">
      <w:r w:rsidRPr="007B0A30">
        <w:t xml:space="preserve">Luxembursko: </w:t>
      </w:r>
      <w:proofErr w:type="gramStart"/>
      <w:r w:rsidRPr="007B0A30">
        <w:t>Od</w:t>
      </w:r>
      <w:proofErr w:type="gramEnd"/>
      <w:r w:rsidRPr="007B0A30">
        <w:t xml:space="preserve"> školského roku 2008/09 existuje štruktúra umeleckého vzdelávania zložená zo základných dosiahnutých cieľov pre 6. </w:t>
      </w:r>
      <w:proofErr w:type="gramStart"/>
      <w:r w:rsidRPr="007B0A30">
        <w:t>a</w:t>
      </w:r>
      <w:proofErr w:type="gramEnd"/>
      <w:r w:rsidRPr="007B0A30">
        <w:t xml:space="preserve"> 8. </w:t>
      </w:r>
      <w:proofErr w:type="gramStart"/>
      <w:r w:rsidRPr="007B0A30">
        <w:t>ročník</w:t>
      </w:r>
      <w:proofErr w:type="gramEnd"/>
      <w:r w:rsidRPr="007B0A30">
        <w:t>.</w:t>
      </w:r>
    </w:p>
    <w:p w:rsidR="0049211D" w:rsidRPr="007B0A30" w:rsidRDefault="0049211D" w:rsidP="0049211D">
      <w:r w:rsidRPr="007B0A30">
        <w:t xml:space="preserve">Írsko: Kritériá hodnotenia </w:t>
      </w:r>
      <w:proofErr w:type="gramStart"/>
      <w:r w:rsidRPr="007B0A30">
        <w:t>sa</w:t>
      </w:r>
      <w:proofErr w:type="gramEnd"/>
      <w:r w:rsidRPr="007B0A30">
        <w:t xml:space="preserve"> používajú iba pri skúškach v 3. </w:t>
      </w:r>
      <w:proofErr w:type="gramStart"/>
      <w:r w:rsidRPr="007B0A30">
        <w:t>ročníku</w:t>
      </w:r>
      <w:proofErr w:type="gramEnd"/>
      <w:r w:rsidRPr="007B0A30">
        <w:t xml:space="preserve"> (koniec úrovne ISCED 2). </w:t>
      </w:r>
      <w:proofErr w:type="gramStart"/>
      <w:r w:rsidRPr="007B0A30">
        <w:t>Deskriptory sú pre rôzne úrovne kompetencie v každej zložke hodnoteného predmetu.</w:t>
      </w:r>
      <w:proofErr w:type="gramEnd"/>
      <w:r w:rsidRPr="007B0A30">
        <w:t xml:space="preserve"> Pre každú úroveň </w:t>
      </w:r>
      <w:proofErr w:type="gramStart"/>
      <w:r w:rsidRPr="007B0A30">
        <w:t>sa</w:t>
      </w:r>
      <w:proofErr w:type="gramEnd"/>
      <w:r w:rsidRPr="007B0A30">
        <w:t xml:space="preserve"> tiež používa stupnica známok. </w:t>
      </w:r>
    </w:p>
    <w:p w:rsidR="0049211D" w:rsidRPr="007B0A30" w:rsidRDefault="0049211D" w:rsidP="0049211D">
      <w:r w:rsidRPr="007B0A30">
        <w:t xml:space="preserve">Fínsko: Príklady toho, čo tvorí dobrú úroveň výsledkov, používajú učitelia ako míľniky, ale tie sú definované iba </w:t>
      </w:r>
      <w:proofErr w:type="gramStart"/>
      <w:r w:rsidRPr="007B0A30">
        <w:t>na</w:t>
      </w:r>
      <w:proofErr w:type="gramEnd"/>
      <w:r w:rsidRPr="007B0A30">
        <w:t xml:space="preserve"> ukončenie dvoch stupňov umeleckého vzdelávania.</w:t>
      </w:r>
    </w:p>
    <w:p w:rsidR="0049211D" w:rsidRPr="007B0A30" w:rsidRDefault="0049211D" w:rsidP="0049211D">
      <w:r w:rsidRPr="007B0A30">
        <w:t xml:space="preserve">Švédsko: Do konca 9. </w:t>
      </w:r>
      <w:proofErr w:type="gramStart"/>
      <w:r w:rsidRPr="007B0A30">
        <w:t>ročníka</w:t>
      </w:r>
      <w:proofErr w:type="gramEnd"/>
      <w:r w:rsidRPr="007B0A30">
        <w:t xml:space="preserve"> sú hodnotiace kritériá definované na lokálnej úrovni školy, a formujú sa cieľmi, ktoré musia žiaci dosiahnuť do konca tohto ročníka. </w:t>
      </w:r>
      <w:proofErr w:type="gramStart"/>
      <w:r w:rsidRPr="007B0A30">
        <w:t>Na konci 9.</w:t>
      </w:r>
      <w:proofErr w:type="gramEnd"/>
      <w:r w:rsidRPr="007B0A30">
        <w:t xml:space="preserve"> </w:t>
      </w:r>
      <w:proofErr w:type="gramStart"/>
      <w:r w:rsidRPr="007B0A30">
        <w:t>ročníka</w:t>
      </w:r>
      <w:proofErr w:type="gramEnd"/>
      <w:r w:rsidRPr="007B0A30">
        <w:t xml:space="preserve"> musia byť použité kritériá národnej vzdelávacej agentúry. </w:t>
      </w:r>
    </w:p>
    <w:p w:rsidR="0049211D" w:rsidRPr="007B0A30" w:rsidRDefault="0049211D" w:rsidP="0049211D"/>
    <w:p w:rsidR="0049211D" w:rsidRPr="007D6E9E" w:rsidRDefault="0049211D" w:rsidP="0049211D">
      <w:pPr>
        <w:rPr>
          <w:lang w:val="de-DE"/>
        </w:rPr>
      </w:pPr>
      <w:r w:rsidRPr="007D6E9E">
        <w:rPr>
          <w:lang w:val="de-DE"/>
        </w:rPr>
        <w:t>Vysvetlivka</w:t>
      </w:r>
    </w:p>
    <w:p w:rsidR="0049211D" w:rsidRPr="00164D62" w:rsidRDefault="0049211D" w:rsidP="0049211D">
      <w:pPr>
        <w:rPr>
          <w:lang w:val="de-DE"/>
        </w:rPr>
      </w:pPr>
      <w:r w:rsidRPr="00164D62">
        <w:rPr>
          <w:lang w:val="de-DE"/>
        </w:rPr>
        <w:t>Kritérium je nástrojom na vytvorenie posudku. Je vytvorený z dvoch zložiek: parametra (alebo aspektu, ktorý bude hodnotený) a úrovne požiadaviek (odkaz – štandard, predpis alebo úroveň znalostí) oproti ktorej sa hodnotí parameter. Pre určité študijné programy sú stanovené vyučovacie ciele, ktoré sú hodnotiacimi kritériami. Tieto ciele neoprávňujú zaradenie do tejto štúdie, pretože nemajú odlišné úrovne výsledkov/požiadaviek. Do úvahy sa berú iba hodnotiace kritériá, ktoré zodpovedajú definícii.</w:t>
      </w:r>
    </w:p>
    <w:p w:rsidR="0049211D" w:rsidRPr="007B0A30" w:rsidRDefault="0049211D" w:rsidP="0049211D">
      <w:r>
        <w:rPr>
          <w:noProof/>
          <w:lang w:val="sk-SK" w:eastAsia="sk-SK"/>
        </w:rPr>
        <w:drawing>
          <wp:inline distT="0" distB="0" distL="0" distR="0">
            <wp:extent cx="5845175" cy="143510"/>
            <wp:effectExtent l="19050" t="0" r="3175" b="0"/>
            <wp:docPr id="5" name="Obrázok 5" descr="U:\026_School_autonomy\graph\leg\leg_fermeture.eps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U:\026_School_autonomy\graph\leg\leg_fermeture.eps  "/>
                    <pic:cNvPicPr preferRelativeResize="0">
                      <a:picLocks noChangeArrowheads="1"/>
                    </pic:cNvPicPr>
                  </pic:nvPicPr>
                  <pic:blipFill>
                    <a:blip r:embed="rId11"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49211D" w:rsidRPr="007B0A30" w:rsidRDefault="0049211D" w:rsidP="0049211D"/>
    <w:p w:rsidR="0049211D" w:rsidRPr="007B0A30" w:rsidRDefault="0049211D" w:rsidP="0049211D"/>
    <w:p w:rsidR="0049211D" w:rsidRPr="007B0A30" w:rsidRDefault="0049211D" w:rsidP="0049211D">
      <w:proofErr w:type="gramStart"/>
      <w:r w:rsidRPr="007B0A30">
        <w:t>V Dánsku stanovujú hodnotiace kritériá centrálne školské inštitúcie iba pre 8.</w:t>
      </w:r>
      <w:proofErr w:type="gramEnd"/>
      <w:r w:rsidRPr="007B0A30">
        <w:t xml:space="preserve"> </w:t>
      </w:r>
      <w:proofErr w:type="gramStart"/>
      <w:r w:rsidRPr="007B0A30">
        <w:t>a</w:t>
      </w:r>
      <w:proofErr w:type="gramEnd"/>
      <w:r w:rsidRPr="007B0A30">
        <w:t xml:space="preserve"> 9. </w:t>
      </w:r>
      <w:proofErr w:type="gramStart"/>
      <w:r w:rsidRPr="007B0A30">
        <w:t>ročník</w:t>
      </w:r>
      <w:proofErr w:type="gramEnd"/>
      <w:r w:rsidRPr="007B0A30">
        <w:t xml:space="preserve">, počas ktorých môžu žiaci skladať skúšky z niektorých umeleckých predmetov. V iných vekových skupinách učitelia robia hodnotenie </w:t>
      </w:r>
      <w:proofErr w:type="gramStart"/>
      <w:r w:rsidRPr="007B0A30">
        <w:t>na</w:t>
      </w:r>
      <w:proofErr w:type="gramEnd"/>
      <w:r w:rsidRPr="007B0A30">
        <w:t xml:space="preserve"> základe spoločných cieľov stanovených pre každú vekovú skupinu, v ktorých sa predmety vyučujú. </w:t>
      </w:r>
      <w:proofErr w:type="gramStart"/>
      <w:r w:rsidRPr="007B0A30">
        <w:t>Napríklad, jedným z vyučovacích cieľov pre umeleckú výchovu v 8.</w:t>
      </w:r>
      <w:proofErr w:type="gramEnd"/>
      <w:r w:rsidRPr="007B0A30">
        <w:t xml:space="preserve"> </w:t>
      </w:r>
      <w:proofErr w:type="gramStart"/>
      <w:r w:rsidRPr="007B0A30">
        <w:t>ročníku</w:t>
      </w:r>
      <w:proofErr w:type="gramEnd"/>
      <w:r w:rsidRPr="007B0A30">
        <w:t xml:space="preserve"> je “ovládať širokú škálu dizajnérskych techník”. Stupnica dosiahnutého úspechu má 7 stupňov v rozmedzí </w:t>
      </w:r>
      <w:proofErr w:type="gramStart"/>
      <w:r w:rsidRPr="007B0A30">
        <w:t>od</w:t>
      </w:r>
      <w:proofErr w:type="gramEnd"/>
      <w:r w:rsidRPr="007B0A30">
        <w:t xml:space="preserve"> -3 do 12 (pozri ukazovateľ 4.3). Stupeň 4 zodpovedá deskriptoru “žiak používa nástroje a techniky s mierou neistoty”. Stupeň 7 vyjadruje “žiak preukázal význačnú schopnosť v používaní rôznych pomôcok a techník a dobré znalosti použitých materiálov a techník”. </w:t>
      </w:r>
      <w:proofErr w:type="gramStart"/>
      <w:r w:rsidRPr="007B0A30">
        <w:t>Stupeň 12 vyjadruje, že “žiak názorne preukazuje istotu v používaní rôznych nástrojov a techník”.</w:t>
      </w:r>
      <w:proofErr w:type="gramEnd"/>
      <w:r w:rsidRPr="007B0A30">
        <w:t xml:space="preserve"> </w:t>
      </w:r>
    </w:p>
    <w:p w:rsidR="0049211D" w:rsidRPr="007B0A30" w:rsidRDefault="0049211D" w:rsidP="0049211D">
      <w:r w:rsidRPr="007B0A30">
        <w:t xml:space="preserve">Na Malte </w:t>
      </w:r>
      <w:proofErr w:type="gramStart"/>
      <w:r w:rsidRPr="007B0A30">
        <w:t>sa</w:t>
      </w:r>
      <w:proofErr w:type="gramEnd"/>
      <w:r w:rsidRPr="007B0A30">
        <w:t xml:space="preserve"> hodnotiace kritériá skladajú zo série parametrov zoskupených do kategórií a prepojených na stupnicu hodnôt. Avšak iba žiaci </w:t>
      </w:r>
      <w:proofErr w:type="gramStart"/>
      <w:r w:rsidRPr="007B0A30">
        <w:t>na</w:t>
      </w:r>
      <w:proofErr w:type="gramEnd"/>
      <w:r w:rsidRPr="007B0A30">
        <w:t xml:space="preserve"> úrovni ISCED 2, ktorí študujú umenie a dizajn sa hodnotia. </w:t>
      </w:r>
      <w:proofErr w:type="gramStart"/>
      <w:r w:rsidRPr="007B0A30">
        <w:t>Ide predovšetkým o maľovanie a kreslenie, považované za základné umelecké disciplíny, ktoré sú hodnotené.</w:t>
      </w:r>
      <w:proofErr w:type="gramEnd"/>
      <w:r w:rsidRPr="007B0A30">
        <w:t xml:space="preserve"> Sú dve série parametrov: prvá má za cieľ hodnotiť prácu žiaka vytvorenú podľa zadanej témy; druhá hodnotí, čo sú schopní (re)produkovať objekt, ktorý </w:t>
      </w:r>
      <w:proofErr w:type="gramStart"/>
      <w:r w:rsidRPr="007B0A30">
        <w:t>mali</w:t>
      </w:r>
      <w:proofErr w:type="gramEnd"/>
      <w:r w:rsidRPr="007B0A30">
        <w:t xml:space="preserve"> pozorovať. </w:t>
      </w:r>
      <w:proofErr w:type="gramStart"/>
      <w:r w:rsidRPr="007B0A30">
        <w:t>V prvej skupine existuje sedem parametrov zoskupených do štyroch kategórií (skúmanie, experimentovanie, dokumentácia, tvorba), ktoré zahŕňajú napríklad “vytvorená práca je dôkazom výskumu zdrojov vizuálnych alebo iných informácií”.</w:t>
      </w:r>
      <w:proofErr w:type="gramEnd"/>
      <w:r w:rsidRPr="007B0A30">
        <w:t xml:space="preserve"> </w:t>
      </w:r>
      <w:proofErr w:type="gramStart"/>
      <w:r w:rsidRPr="007B0A30">
        <w:t xml:space="preserve">Druhá skupina obsahuje päť parametrov vrátane “efektívneho umeleckého stvárnenia tvaru” a “zachytenia svetla a tieňa použitím tónovania” [Pozri </w:t>
      </w:r>
      <w:hyperlink r:id="rId12" w:history="1">
        <w:r w:rsidRPr="007B0A30">
          <w:rPr>
            <w:rStyle w:val="Hypertextovprepojenie"/>
          </w:rPr>
          <w:t>http://www.curriculum.gov.mt/docs/syllabus_art_09.pdf</w:t>
        </w:r>
      </w:hyperlink>
      <w:r w:rsidRPr="007B0A30">
        <w:t xml:space="preserve"> ].</w:t>
      </w:r>
      <w:proofErr w:type="gramEnd"/>
    </w:p>
    <w:p w:rsidR="0049211D" w:rsidRPr="007B0A30" w:rsidRDefault="0049211D" w:rsidP="0049211D">
      <w:r w:rsidRPr="007B0A30">
        <w:t xml:space="preserve">V Slovinsku sú vyučovacie ciele pre každý ročník, v ktorom </w:t>
      </w:r>
      <w:proofErr w:type="gramStart"/>
      <w:r w:rsidRPr="007B0A30">
        <w:t>sa</w:t>
      </w:r>
      <w:proofErr w:type="gramEnd"/>
      <w:r w:rsidRPr="007B0A30">
        <w:t xml:space="preserve"> vyučujú umelecké predmety, rozdelené na etapové ciele. Napríklad, v piatom ročníku je jedným z vyučovacích cieľov pre výtvarnú výchovu, aby žiaci poznali terminológiu v grafike, architektúre, kreslení, maľovaní a sochárstve, ako aj príklady z prírody </w:t>
      </w:r>
      <w:proofErr w:type="gramStart"/>
      <w:r w:rsidRPr="007B0A30">
        <w:t>a</w:t>
      </w:r>
      <w:proofErr w:type="gramEnd"/>
      <w:r w:rsidRPr="007B0A30">
        <w:t xml:space="preserve"> okolitého prostredia. </w:t>
      </w:r>
      <w:proofErr w:type="gramStart"/>
      <w:r w:rsidRPr="007B0A30">
        <w:t>Tieto ciele zahŕňajú 14 etapových cieľov.</w:t>
      </w:r>
      <w:proofErr w:type="gramEnd"/>
      <w:r w:rsidRPr="007B0A30">
        <w:t xml:space="preserve"> </w:t>
      </w:r>
      <w:proofErr w:type="gramStart"/>
      <w:r w:rsidRPr="007B0A30">
        <w:t>Úrovne znalostí sú prisudzované podľa počtu dosiahnutých etapových cieľov.</w:t>
      </w:r>
      <w:proofErr w:type="gramEnd"/>
      <w:r w:rsidRPr="007B0A30">
        <w:t xml:space="preserve"> </w:t>
      </w:r>
      <w:proofErr w:type="gramStart"/>
      <w:r w:rsidRPr="007B0A30">
        <w:t>Počas prvých troch ročníkov existujú 3 úrovne znalostí.</w:t>
      </w:r>
      <w:proofErr w:type="gramEnd"/>
      <w:r w:rsidRPr="007B0A30">
        <w:t xml:space="preserve"> Následne </w:t>
      </w:r>
      <w:proofErr w:type="gramStart"/>
      <w:r w:rsidRPr="007B0A30">
        <w:t>sa</w:t>
      </w:r>
      <w:proofErr w:type="gramEnd"/>
      <w:r w:rsidRPr="007B0A30">
        <w:t xml:space="preserve"> používa 5 úrovní. </w:t>
      </w:r>
      <w:proofErr w:type="gramStart"/>
      <w:r w:rsidRPr="007B0A30">
        <w:t>V tomto modeli úroveň 3 (dobrý) indikuje, že žiaci splnili polovicu etapových cieľov.</w:t>
      </w:r>
      <w:proofErr w:type="gramEnd"/>
      <w:r w:rsidRPr="007B0A30">
        <w:t xml:space="preserve"> </w:t>
      </w:r>
    </w:p>
    <w:p w:rsidR="0049211D" w:rsidRPr="007B0A30" w:rsidRDefault="0049211D" w:rsidP="0049211D">
      <w:proofErr w:type="gramStart"/>
      <w:r w:rsidRPr="007B0A30">
        <w:t>V Rumunsku sú ciele vyučovania hudobnej výchovy definované pre 5.</w:t>
      </w:r>
      <w:proofErr w:type="gramEnd"/>
      <w:r w:rsidRPr="007B0A30">
        <w:t xml:space="preserve"> </w:t>
      </w:r>
      <w:proofErr w:type="gramStart"/>
      <w:r w:rsidRPr="007B0A30">
        <w:t>a</w:t>
      </w:r>
      <w:proofErr w:type="gramEnd"/>
      <w:r w:rsidRPr="007B0A30">
        <w:t xml:space="preserve"> 8. </w:t>
      </w:r>
      <w:proofErr w:type="gramStart"/>
      <w:r w:rsidRPr="007B0A30">
        <w:t>ročník</w:t>
      </w:r>
      <w:proofErr w:type="gramEnd"/>
      <w:r w:rsidRPr="007B0A30">
        <w:t xml:space="preserve"> a zahŕňajú 4 stupne znalostí. </w:t>
      </w:r>
      <w:proofErr w:type="gramStart"/>
      <w:r w:rsidRPr="007B0A30">
        <w:t>Napríklad v 8.</w:t>
      </w:r>
      <w:proofErr w:type="gramEnd"/>
      <w:r w:rsidRPr="007B0A30">
        <w:t xml:space="preserve"> </w:t>
      </w:r>
      <w:proofErr w:type="gramStart"/>
      <w:r w:rsidRPr="007B0A30">
        <w:t>ročníku</w:t>
      </w:r>
      <w:proofErr w:type="gramEnd"/>
      <w:r w:rsidRPr="007B0A30">
        <w:t xml:space="preserve"> je jedným z cieľov “spoznať a byť schopný rozlišovať medzi hlavnými komponentmi rôznych hudobných žánrov”. Prvý stupeň znalostí vyjadruje, že žiaci by </w:t>
      </w:r>
      <w:proofErr w:type="gramStart"/>
      <w:r w:rsidRPr="007B0A30">
        <w:t>mali ”</w:t>
      </w:r>
      <w:proofErr w:type="gramEnd"/>
      <w:r w:rsidRPr="007B0A30">
        <w:t xml:space="preserve">rozpoznať prvky hudobného jazyka vo vyučovaných piesňach”, kým úroveň 4 deskriptora vyjadruje “spoznať a analyzovať zložky hudobného jazyka v hranom alebo počúvanom diele, a byť schopný identifikovať  hudobný žáner, ku ktorému výňatok patrí” [Pozri </w:t>
      </w:r>
      <w:hyperlink r:id="rId13" w:tooltip="blocked::http://www.edu.ro/index.php/articles/c545/" w:history="1">
        <w:r w:rsidRPr="007B0A30">
          <w:rPr>
            <w:rStyle w:val="Hypertextovprepojenie"/>
          </w:rPr>
          <w:t>http://www.edu.ro/index.php/articles/c545/</w:t>
        </w:r>
      </w:hyperlink>
      <w:r w:rsidRPr="007B0A30">
        <w:t>. ].</w:t>
      </w:r>
    </w:p>
    <w:p w:rsidR="0049211D" w:rsidRPr="007B0A30" w:rsidRDefault="0049211D" w:rsidP="0049211D">
      <w:r w:rsidRPr="007B0A30">
        <w:t xml:space="preserve">Vo Fínsku, okrem cieľov </w:t>
      </w:r>
      <w:proofErr w:type="gramStart"/>
      <w:r w:rsidRPr="007B0A30">
        <w:t>a</w:t>
      </w:r>
      <w:proofErr w:type="gramEnd"/>
      <w:r w:rsidRPr="007B0A30">
        <w:t xml:space="preserve"> obsahu hlavného predmetu pre dva stupne umeleckého vzdelávania (1. − 4. </w:t>
      </w:r>
      <w:proofErr w:type="gramStart"/>
      <w:r w:rsidRPr="007B0A30">
        <w:t>a</w:t>
      </w:r>
      <w:proofErr w:type="gramEnd"/>
      <w:r w:rsidRPr="007B0A30">
        <w:t xml:space="preserve"> 5. – 9. </w:t>
      </w:r>
      <w:proofErr w:type="gramStart"/>
      <w:r w:rsidRPr="007B0A30">
        <w:t>ročník</w:t>
      </w:r>
      <w:proofErr w:type="gramEnd"/>
      <w:r w:rsidRPr="007B0A30">
        <w:t xml:space="preserve">), poskytujú študijné programy príklady toho, čo tvorí “dobrú” úroveň znalostí žiaka na konci 4.a 9. </w:t>
      </w:r>
      <w:proofErr w:type="gramStart"/>
      <w:r w:rsidRPr="007B0A30">
        <w:t>ročníka</w:t>
      </w:r>
      <w:proofErr w:type="gramEnd"/>
      <w:r w:rsidRPr="007B0A30">
        <w:t xml:space="preserve">. </w:t>
      </w:r>
      <w:proofErr w:type="gramStart"/>
      <w:r w:rsidRPr="007B0A30">
        <w:t>Táto úroveň znalostí korešponduje s 8.</w:t>
      </w:r>
      <w:proofErr w:type="gramEnd"/>
      <w:r w:rsidRPr="007B0A30">
        <w:t xml:space="preserve"> </w:t>
      </w:r>
      <w:proofErr w:type="gramStart"/>
      <w:r w:rsidRPr="007B0A30">
        <w:t>ročníkom</w:t>
      </w:r>
      <w:proofErr w:type="gramEnd"/>
      <w:r w:rsidRPr="007B0A30">
        <w:t xml:space="preserve"> (pozri ukazovateľ 4.3), kedy sa používa numerická stupnica známkovania. Tieto príklady </w:t>
      </w:r>
      <w:proofErr w:type="gramStart"/>
      <w:r w:rsidRPr="007B0A30">
        <w:t>sa</w:t>
      </w:r>
      <w:proofErr w:type="gramEnd"/>
      <w:r w:rsidRPr="007B0A30">
        <w:t xml:space="preserve"> používajú ako míľniky pre učiteľa. V hudobnej výchove je príkladom dobrej úrovne znalostí </w:t>
      </w:r>
      <w:proofErr w:type="gramStart"/>
      <w:r w:rsidRPr="007B0A30">
        <w:t>na</w:t>
      </w:r>
      <w:proofErr w:type="gramEnd"/>
      <w:r w:rsidRPr="007B0A30">
        <w:t xml:space="preserve"> konci 4. </w:t>
      </w:r>
      <w:proofErr w:type="gramStart"/>
      <w:r w:rsidRPr="007B0A30">
        <w:t>ročníka</w:t>
      </w:r>
      <w:proofErr w:type="gramEnd"/>
      <w:r w:rsidRPr="007B0A30">
        <w:t xml:space="preserve"> “vedieť používať hlas v súlade so spevom s inými”. </w:t>
      </w:r>
      <w:proofErr w:type="gramStart"/>
      <w:r w:rsidRPr="007B0A30">
        <w:t>Na konci 9.</w:t>
      </w:r>
      <w:proofErr w:type="gramEnd"/>
      <w:r w:rsidRPr="007B0A30">
        <w:t xml:space="preserve"> </w:t>
      </w:r>
      <w:proofErr w:type="gramStart"/>
      <w:r w:rsidRPr="007B0A30">
        <w:t>ročníka</w:t>
      </w:r>
      <w:proofErr w:type="gramEnd"/>
      <w:r w:rsidRPr="007B0A30">
        <w:t xml:space="preserve"> je to ”participovať vo vokálnom zbore a vedieť spievať v súlade s melódiou a rytmom”.</w:t>
      </w:r>
    </w:p>
    <w:p w:rsidR="0049211D" w:rsidRPr="007B0A30" w:rsidRDefault="0049211D" w:rsidP="0049211D">
      <w:r w:rsidRPr="007B0A30">
        <w:t xml:space="preserve">V Spojenom kráľovstve (ANG/ WLS) [Pozri </w:t>
      </w:r>
      <w:hyperlink r:id="rId14" w:tooltip="blocked::http://www.ltscotland.org.uk/curriculumforexcellence/expressivearts/principlesandpractice/assessment.asp" w:history="1">
        <w:r w:rsidRPr="007B0A30">
          <w:rPr>
            <w:rStyle w:val="Hypertextovprepojenie"/>
          </w:rPr>
          <w:t>http://www.ltscotland.org.uk/curriculumforexcellence/expressivearts/principlesandpractice/assessment.asp</w:t>
        </w:r>
      </w:hyperlink>
      <w:r w:rsidRPr="007B0A30">
        <w:t xml:space="preserve"> ] má kurikulum pre každý vyučovaný umelecký predmet 8- stupňovú škálu znalostí, ktorá opisuje všetky vedomosti, zručnosti a poznatky, ktoré sa očakávajú od žiakov vo veku od 5 do 14 rokov. </w:t>
      </w:r>
      <w:proofErr w:type="gramStart"/>
      <w:r w:rsidRPr="007B0A30">
        <w:t>Deviata úroveň zodpovedá výnimočnému výkonu.</w:t>
      </w:r>
      <w:proofErr w:type="gramEnd"/>
      <w:r w:rsidRPr="007B0A30">
        <w:t xml:space="preserve"> Pre rôzne vekové skupiny sú definované očakávania, a typický žiak by mal prechádzať z jednej úrovne do ďalšej každé dva roky. Tento prístup umožňuje rodičom a škole venovať pozornosť individuálnemu vývoju dieťaťa s tým, čo je typické pre ich vek a pritom sledujú, že </w:t>
      </w:r>
      <w:proofErr w:type="gramStart"/>
      <w:r w:rsidRPr="007B0A30">
        <w:t>sa</w:t>
      </w:r>
      <w:proofErr w:type="gramEnd"/>
      <w:r w:rsidRPr="007B0A30">
        <w:t xml:space="preserve"> deti rozvíjajú rozdielnym tempom. </w:t>
      </w:r>
    </w:p>
    <w:p w:rsidR="0049211D" w:rsidRPr="007B0A30" w:rsidRDefault="0049211D" w:rsidP="0049211D">
      <w:r w:rsidRPr="007B0A30">
        <w:t xml:space="preserve">V Spojenom kráľovstve (Škótsku), napríklad v umení a dizajne kurikulum poskytuje päť úrovní znalostí, ktoré zahŕňajú očakávané znalosti žiakov </w:t>
      </w:r>
      <w:proofErr w:type="gramStart"/>
      <w:r w:rsidRPr="007B0A30">
        <w:t>vo</w:t>
      </w:r>
      <w:proofErr w:type="gramEnd"/>
      <w:r w:rsidRPr="007B0A30">
        <w:t xml:space="preserve"> veku od 3 do 15 rokov. Kurikulum pre umenie a dizajn definuje škálu vyučovacích výsledkov </w:t>
      </w:r>
      <w:proofErr w:type="gramStart"/>
      <w:r w:rsidRPr="007B0A30">
        <w:t>na</w:t>
      </w:r>
      <w:proofErr w:type="gramEnd"/>
      <w:r w:rsidRPr="007B0A30">
        <w:t xml:space="preserve"> rôznych úrovniach. “Mám voľnosť v objavovaní a výbere spôsobov tvorby obrazov </w:t>
      </w:r>
      <w:proofErr w:type="gramStart"/>
      <w:r w:rsidRPr="007B0A30">
        <w:t>a</w:t>
      </w:r>
      <w:proofErr w:type="gramEnd"/>
      <w:r w:rsidRPr="007B0A30">
        <w:t xml:space="preserve"> objektov používaním rôznych materiálov”, je jedným z nich a zodpovedá prvej úrovni znalostí. </w:t>
      </w:r>
      <w:proofErr w:type="gramStart"/>
      <w:r w:rsidRPr="007B0A30">
        <w:t>Jedným z výsledkov pre tretiu úroveň je “Mám skúsenosti so škálou médií a technológií pri tvorbe obrazov a predmetov využívaním svojich poznatkov o ich vlastnostiach”.</w:t>
      </w:r>
      <w:proofErr w:type="gramEnd"/>
      <w:r w:rsidRPr="007B0A30">
        <w:t xml:space="preserve"> Príkladom dosiahnutia štvrtej úrovne je “pokračovať v experimentovaní širokou škálou médií a technológii, ovládajúc ich s kontrolou </w:t>
      </w:r>
      <w:proofErr w:type="gramStart"/>
      <w:r w:rsidRPr="007B0A30">
        <w:t>a</w:t>
      </w:r>
      <w:proofErr w:type="gramEnd"/>
      <w:r w:rsidRPr="007B0A30">
        <w:t xml:space="preserve"> istotou pri tvorbe obrazov a predmetov. </w:t>
      </w:r>
      <w:proofErr w:type="gramStart"/>
      <w:r w:rsidRPr="007B0A30">
        <w:t>Môžem aplikovať moje pochopenie vlastností médií a techník v špecifických úlohách.”</w:t>
      </w:r>
      <w:proofErr w:type="gramEnd"/>
      <w:r w:rsidRPr="007B0A30">
        <w:t xml:space="preserve">  </w:t>
      </w:r>
      <w:proofErr w:type="gramStart"/>
      <w:r w:rsidRPr="007B0A30">
        <w:t xml:space="preserve">Treba poznamenať, že nie všetky študijné výsledky majú päť odlišných úrovní, pretože niektoré výsledky sú za hranicami medzi úrovňami [Pozri </w:t>
      </w:r>
      <w:hyperlink r:id="rId15" w:tooltip="blocked::http://www.ltscotland.org.uk/curriculumforexcellence/expressivearts/principlesandpractice/assessment.asp" w:history="1">
        <w:r w:rsidRPr="007B0A30">
          <w:rPr>
            <w:rStyle w:val="Hypertextovprepojenie"/>
          </w:rPr>
          <w:t>http://www.ltscotland.org.uk/curriculumforexcellence/expressivearts/principlesandpractice/assessment.asp</w:t>
        </w:r>
      </w:hyperlink>
      <w:r w:rsidRPr="007B0A30">
        <w:t xml:space="preserve"> ].</w:t>
      </w:r>
      <w:proofErr w:type="gramEnd"/>
    </w:p>
    <w:p w:rsidR="0049211D" w:rsidRPr="007B0A30" w:rsidRDefault="0049211D" w:rsidP="0049211D"/>
    <w:p w:rsidR="0049211D" w:rsidRPr="007B0A30" w:rsidRDefault="0049211D" w:rsidP="0049211D">
      <w:r w:rsidRPr="007B0A30">
        <w:t>&amp;4 Stupnice hodnotenia</w:t>
      </w:r>
    </w:p>
    <w:p w:rsidR="0049211D" w:rsidRPr="007B0A30" w:rsidRDefault="0049211D" w:rsidP="0049211D">
      <w:r w:rsidRPr="007B0A30">
        <w:t xml:space="preserve">S výnimkou Spojeného kráľovstva (Škótsko) všetky štáty, ktoré určujú hodnotiace kritériá (ukazovateľ 4.1) tiež určujú, aké hodnotiace stupnice sa používajú (ukazovatele 4.2 a 4.3) K siedmim sa pridáva ďalších 16 štátov, v ktorých centrálne školské inštitúcie vydávajú odporúčania na stupnice hodnotenia. </w:t>
      </w:r>
    </w:p>
    <w:p w:rsidR="0049211D" w:rsidRPr="007B0A30" w:rsidRDefault="0049211D" w:rsidP="0049211D">
      <w:proofErr w:type="gramStart"/>
      <w:r w:rsidRPr="007B0A30">
        <w:t>Na úrovni základného vzdelávania je najčastejšie používanou metódou slovné hodnotenie.</w:t>
      </w:r>
      <w:proofErr w:type="gramEnd"/>
      <w:r w:rsidRPr="007B0A30">
        <w:t xml:space="preserve"> V približne polovici štátov, v ktorých </w:t>
      </w:r>
      <w:proofErr w:type="gramStart"/>
      <w:r w:rsidRPr="007B0A30">
        <w:t>sa</w:t>
      </w:r>
      <w:proofErr w:type="gramEnd"/>
      <w:r w:rsidRPr="007B0A30">
        <w:t xml:space="preserve"> táto prax používa, konkrétne Estónsko, Grécko, Litva, Poľsko a Portugalsko sa metóda aplikuje v prvých ročníkoch základného vzdelávania. </w:t>
      </w:r>
      <w:proofErr w:type="gramStart"/>
      <w:r w:rsidRPr="007B0A30">
        <w:t>Takýmto spôsobom musí učiteľ robiť celkové hodnotenie žiackej práce bez toho, aby použil známky.</w:t>
      </w:r>
      <w:proofErr w:type="gramEnd"/>
      <w:r w:rsidRPr="007B0A30">
        <w:t xml:space="preserve"> Tento prístup </w:t>
      </w:r>
      <w:proofErr w:type="gramStart"/>
      <w:r w:rsidRPr="007B0A30">
        <w:t>sa</w:t>
      </w:r>
      <w:proofErr w:type="gramEnd"/>
      <w:r w:rsidRPr="007B0A30">
        <w:t xml:space="preserve"> neodporúča pre stredoškolskú úroveň, okrem Fínska, kde sú odporúčané pre túto úroveň verbálne komentáre a numerické stupnice známok.  </w:t>
      </w:r>
    </w:p>
    <w:p w:rsidR="0049211D" w:rsidRPr="007B0A30" w:rsidRDefault="0049211D" w:rsidP="0049211D">
      <w:r w:rsidRPr="007B0A30">
        <w:t xml:space="preserve">Verbálna stupnica známkovania (napr. nedostatočný, dostatočný, dobrý, veľmi dobrý a výborný), ktorá </w:t>
      </w:r>
      <w:proofErr w:type="gramStart"/>
      <w:r w:rsidRPr="007B0A30">
        <w:t>sa</w:t>
      </w:r>
      <w:proofErr w:type="gramEnd"/>
      <w:r w:rsidRPr="007B0A30">
        <w:t xml:space="preserve"> tiež nachádza iba na úrovni ISCED 1, existuje iba v Španielsku, Rumunsku, Slovinsku a Lichtenštajnsku. </w:t>
      </w:r>
    </w:p>
    <w:p w:rsidR="0049211D" w:rsidRPr="007B0A30" w:rsidRDefault="0049211D" w:rsidP="0049211D">
      <w:r w:rsidRPr="007B0A30">
        <w:t xml:space="preserve">Numerické stupnice známkovania, ktoré sú najbežnejšie </w:t>
      </w:r>
      <w:proofErr w:type="gramStart"/>
      <w:r w:rsidRPr="007B0A30">
        <w:t>na</w:t>
      </w:r>
      <w:proofErr w:type="gramEnd"/>
      <w:r w:rsidRPr="007B0A30">
        <w:t xml:space="preserve"> stredoškolskej úrovni, sú dosť odlišné (ukazovateľ 4.3). </w:t>
      </w:r>
      <w:proofErr w:type="gramStart"/>
      <w:r w:rsidRPr="007B0A30">
        <w:t>Vo</w:t>
      </w:r>
      <w:proofErr w:type="gramEnd"/>
      <w:r w:rsidRPr="007B0A30">
        <w:t xml:space="preserve"> vyše polovici štátov, v ktorých sa používajú na úrovni ISCED 1, sú aplikované iba v priebehu posledných ročníkov. </w:t>
      </w:r>
      <w:proofErr w:type="gramStart"/>
      <w:r w:rsidRPr="007B0A30">
        <w:t>Navyše, stupnica, ktorá zahŕňa rovnaký počet stupňov môže veľmi odlišným spôsobom definovať škálu možných výkonov.</w:t>
      </w:r>
      <w:proofErr w:type="gramEnd"/>
      <w:r w:rsidRPr="007B0A30">
        <w:t xml:space="preserve"> Toto je aktuálne napríklad v Španielsku, alebo Rumunsku, v ktorých </w:t>
      </w:r>
      <w:proofErr w:type="gramStart"/>
      <w:r w:rsidRPr="007B0A30">
        <w:t>sa</w:t>
      </w:r>
      <w:proofErr w:type="gramEnd"/>
      <w:r w:rsidRPr="007B0A30">
        <w:t xml:space="preserve"> používa 10-bodová stupnica, ale s rozdielnymi hodnotami pripísanými ku každému bodu. </w:t>
      </w:r>
    </w:p>
    <w:p w:rsidR="0049211D" w:rsidRPr="007B0A30" w:rsidRDefault="0049211D" w:rsidP="0049211D">
      <w:r w:rsidRPr="007B0A30">
        <w:t xml:space="preserve">Iba Cyprus a Španielsko používajú abecednú stupnicu známkovania </w:t>
      </w:r>
      <w:proofErr w:type="gramStart"/>
      <w:r w:rsidRPr="007B0A30">
        <w:t>na</w:t>
      </w:r>
      <w:proofErr w:type="gramEnd"/>
      <w:r w:rsidRPr="007B0A30">
        <w:t xml:space="preserve"> úrovni ISCED 2, a okrem nich Grécko na úrovni ISCED 1.</w:t>
      </w:r>
    </w:p>
    <w:p w:rsidR="0049211D" w:rsidRPr="007B0A30" w:rsidRDefault="0049211D" w:rsidP="0049211D"/>
    <w:p w:rsidR="0049211D" w:rsidRPr="007B0A30" w:rsidRDefault="0049211D" w:rsidP="0049211D">
      <w:r>
        <w:rPr>
          <w:noProof/>
          <w:lang w:val="sk-SK" w:eastAsia="sk-SK"/>
        </w:rPr>
        <w:drawing>
          <wp:inline distT="0" distB="0" distL="0" distR="0">
            <wp:extent cx="5845175" cy="143510"/>
            <wp:effectExtent l="19050" t="0" r="3175" b="0"/>
            <wp:docPr id="6" name="Obrázok 6" descr="U:\026_School_autonomy\graph\leg\leg_ouverture.ep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026_School_autonomy\graph\leg\leg_ouverture.eps  "/>
                    <pic:cNvPicPr>
                      <a:picLocks noChangeAspect="1" noChangeArrowheads="1"/>
                    </pic:cNvPicPr>
                  </pic:nvPicPr>
                  <pic:blipFill>
                    <a:blip r:embed="rId7"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49211D" w:rsidRPr="007B0A30" w:rsidRDefault="0049211D" w:rsidP="0049211D">
      <w:r w:rsidRPr="007B0A30">
        <w:t xml:space="preserve">Ukazovateľ 4.2: Typy hodnotiacich stupníc v umeleckých predmetoch, </w:t>
      </w:r>
      <w:r w:rsidRPr="007B0A30">
        <w:br/>
        <w:t>úroveň ISCED 1 a 2, 2007/08</w:t>
      </w:r>
    </w:p>
    <w:tbl>
      <w:tblPr>
        <w:tblW w:w="0" w:type="auto"/>
        <w:tblInd w:w="108" w:type="dxa"/>
        <w:tblLayout w:type="fixed"/>
        <w:tblLook w:val="0000"/>
      </w:tblPr>
      <w:tblGrid>
        <w:gridCol w:w="2160"/>
        <w:gridCol w:w="6925"/>
      </w:tblGrid>
      <w:tr w:rsidR="0049211D" w:rsidRPr="007B0A30" w:rsidTr="005A72A4">
        <w:trPr>
          <w:cantSplit/>
          <w:trHeight w:val="90"/>
        </w:trPr>
        <w:tc>
          <w:tcPr>
            <w:tcW w:w="2160" w:type="dxa"/>
          </w:tcPr>
          <w:p w:rsidR="0049211D" w:rsidRPr="007B0A30" w:rsidRDefault="0049211D" w:rsidP="005A72A4"/>
        </w:tc>
        <w:tc>
          <w:tcPr>
            <w:tcW w:w="6925" w:type="dxa"/>
            <w:vMerge w:val="restart"/>
          </w:tcPr>
          <w:p w:rsidR="0049211D" w:rsidRPr="007B0A30" w:rsidRDefault="0049211D" w:rsidP="005A72A4">
            <w:r>
              <w:rPr>
                <w:noProof/>
                <w:lang w:val="sk-SK" w:eastAsia="sk-SK"/>
              </w:rPr>
              <w:drawing>
                <wp:inline distT="0" distB="0" distL="0" distR="0">
                  <wp:extent cx="4267200" cy="2331085"/>
                  <wp:effectExtent l="19050" t="0" r="0" b="0"/>
                  <wp:docPr id="7" name="Obrázok 7" descr="G:\Local Settings\Temporary Internet Files\graph\4_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cal Settings\Temporary Internet Files\graph\4_2.bmp"/>
                          <pic:cNvPicPr>
                            <a:picLocks noChangeAspect="1" noChangeArrowheads="1"/>
                          </pic:cNvPicPr>
                        </pic:nvPicPr>
                        <pic:blipFill>
                          <a:blip r:embed="rId16" cstate="print"/>
                          <a:srcRect/>
                          <a:stretch>
                            <a:fillRect/>
                          </a:stretch>
                        </pic:blipFill>
                        <pic:spPr bwMode="auto">
                          <a:xfrm>
                            <a:off x="0" y="0"/>
                            <a:ext cx="4267200" cy="2331085"/>
                          </a:xfrm>
                          <a:prstGeom prst="rect">
                            <a:avLst/>
                          </a:prstGeom>
                          <a:noFill/>
                          <a:ln w="9525">
                            <a:noFill/>
                            <a:miter lim="800000"/>
                            <a:headEnd/>
                            <a:tailEnd/>
                          </a:ln>
                        </pic:spPr>
                      </pic:pic>
                    </a:graphicData>
                  </a:graphic>
                </wp:inline>
              </w:drawing>
            </w:r>
          </w:p>
        </w:tc>
      </w:tr>
      <w:tr w:rsidR="0049211D" w:rsidRPr="007B0A30" w:rsidTr="005A72A4">
        <w:trPr>
          <w:cantSplit/>
          <w:trHeight w:val="505"/>
        </w:trPr>
        <w:tc>
          <w:tcPr>
            <w:tcW w:w="2160" w:type="dxa"/>
            <w:tcBorders>
              <w:bottom w:val="single" w:sz="8" w:space="0" w:color="993300"/>
            </w:tcBorders>
            <w:vAlign w:val="center"/>
          </w:tcPr>
          <w:p w:rsidR="0049211D" w:rsidRPr="007B0A30" w:rsidRDefault="0049211D" w:rsidP="005A72A4">
            <w:r w:rsidRPr="007B0A30">
              <w:t>Iba verbálny komentár</w:t>
            </w:r>
            <w:r w:rsidRPr="007B0A30">
              <w:br/>
              <w:t xml:space="preserve">(písomný alebo ústny) </w:t>
            </w:r>
          </w:p>
        </w:tc>
        <w:tc>
          <w:tcPr>
            <w:tcW w:w="6925" w:type="dxa"/>
            <w:vMerge/>
            <w:tcBorders>
              <w:bottom w:val="single" w:sz="8" w:space="0" w:color="993300"/>
            </w:tcBorders>
          </w:tcPr>
          <w:p w:rsidR="0049211D" w:rsidRPr="007B0A30" w:rsidRDefault="0049211D" w:rsidP="005A72A4"/>
        </w:tc>
      </w:tr>
      <w:tr w:rsidR="0049211D" w:rsidRPr="007B0A30" w:rsidTr="005A72A4">
        <w:trPr>
          <w:cantSplit/>
          <w:trHeight w:val="436"/>
        </w:trPr>
        <w:tc>
          <w:tcPr>
            <w:tcW w:w="2160" w:type="dxa"/>
            <w:tcBorders>
              <w:top w:val="single" w:sz="8" w:space="0" w:color="993300"/>
            </w:tcBorders>
            <w:vAlign w:val="center"/>
          </w:tcPr>
          <w:p w:rsidR="0049211D" w:rsidRPr="007B0A30" w:rsidRDefault="0049211D" w:rsidP="005A72A4">
            <w:r w:rsidRPr="007B0A30">
              <w:t>Stupnica verbálnych známok</w:t>
            </w:r>
          </w:p>
        </w:tc>
        <w:tc>
          <w:tcPr>
            <w:tcW w:w="6925" w:type="dxa"/>
            <w:vMerge/>
            <w:tcBorders>
              <w:top w:val="single" w:sz="8" w:space="0" w:color="993300"/>
            </w:tcBorders>
          </w:tcPr>
          <w:p w:rsidR="0049211D" w:rsidRPr="007B0A30" w:rsidRDefault="0049211D" w:rsidP="005A72A4"/>
        </w:tc>
      </w:tr>
      <w:tr w:rsidR="0049211D" w:rsidRPr="007B0A30" w:rsidTr="005A72A4">
        <w:trPr>
          <w:cantSplit/>
          <w:trHeight w:val="449"/>
        </w:trPr>
        <w:tc>
          <w:tcPr>
            <w:tcW w:w="2160" w:type="dxa"/>
            <w:vAlign w:val="center"/>
          </w:tcPr>
          <w:p w:rsidR="0049211D" w:rsidRPr="007B0A30" w:rsidRDefault="0049211D" w:rsidP="005A72A4">
            <w:r w:rsidRPr="007B0A30">
              <w:t>Stupnica abecedných známok</w:t>
            </w:r>
          </w:p>
        </w:tc>
        <w:tc>
          <w:tcPr>
            <w:tcW w:w="6925" w:type="dxa"/>
            <w:vMerge/>
          </w:tcPr>
          <w:p w:rsidR="0049211D" w:rsidRPr="007B0A30" w:rsidRDefault="0049211D" w:rsidP="005A72A4"/>
        </w:tc>
      </w:tr>
      <w:tr w:rsidR="0049211D" w:rsidRPr="007B0A30" w:rsidTr="005A72A4">
        <w:trPr>
          <w:cantSplit/>
          <w:trHeight w:val="449"/>
        </w:trPr>
        <w:tc>
          <w:tcPr>
            <w:tcW w:w="2160" w:type="dxa"/>
            <w:vAlign w:val="center"/>
          </w:tcPr>
          <w:p w:rsidR="0049211D" w:rsidRPr="007B0A30" w:rsidRDefault="0049211D" w:rsidP="005A72A4">
            <w:r w:rsidRPr="007B0A30">
              <w:t>Stupnica numerických známok</w:t>
            </w:r>
          </w:p>
        </w:tc>
        <w:tc>
          <w:tcPr>
            <w:tcW w:w="6925" w:type="dxa"/>
            <w:vMerge/>
          </w:tcPr>
          <w:p w:rsidR="0049211D" w:rsidRPr="007B0A30" w:rsidRDefault="0049211D" w:rsidP="005A72A4"/>
        </w:tc>
      </w:tr>
      <w:tr w:rsidR="0049211D" w:rsidRPr="007B0A30" w:rsidTr="005A72A4">
        <w:trPr>
          <w:cantSplit/>
          <w:trHeight w:val="449"/>
        </w:trPr>
        <w:tc>
          <w:tcPr>
            <w:tcW w:w="2160" w:type="dxa"/>
            <w:tcBorders>
              <w:bottom w:val="single" w:sz="8" w:space="0" w:color="993300"/>
            </w:tcBorders>
            <w:vAlign w:val="center"/>
          </w:tcPr>
          <w:p w:rsidR="0049211D" w:rsidRPr="007B0A30" w:rsidRDefault="0049211D" w:rsidP="005A72A4">
            <w:r w:rsidRPr="007B0A30">
              <w:t>Deskriptívna stupnica</w:t>
            </w:r>
          </w:p>
        </w:tc>
        <w:tc>
          <w:tcPr>
            <w:tcW w:w="6925" w:type="dxa"/>
            <w:vMerge/>
            <w:tcBorders>
              <w:bottom w:val="single" w:sz="8" w:space="0" w:color="993300"/>
            </w:tcBorders>
          </w:tcPr>
          <w:p w:rsidR="0049211D" w:rsidRPr="007B0A30" w:rsidRDefault="0049211D" w:rsidP="005A72A4"/>
        </w:tc>
      </w:tr>
      <w:tr w:rsidR="0049211D" w:rsidRPr="007B0A30" w:rsidTr="005A72A4">
        <w:trPr>
          <w:cantSplit/>
          <w:trHeight w:val="429"/>
        </w:trPr>
        <w:tc>
          <w:tcPr>
            <w:tcW w:w="2160" w:type="dxa"/>
            <w:tcBorders>
              <w:top w:val="single" w:sz="8" w:space="0" w:color="993300"/>
              <w:bottom w:val="single" w:sz="8" w:space="0" w:color="993300"/>
            </w:tcBorders>
            <w:vAlign w:val="center"/>
          </w:tcPr>
          <w:p w:rsidR="0049211D" w:rsidRPr="007B0A30" w:rsidRDefault="0049211D" w:rsidP="005A72A4">
            <w:r w:rsidRPr="007B0A30">
              <w:t>Bez odporučení</w:t>
            </w:r>
          </w:p>
        </w:tc>
        <w:tc>
          <w:tcPr>
            <w:tcW w:w="6925" w:type="dxa"/>
            <w:vMerge/>
            <w:tcBorders>
              <w:top w:val="single" w:sz="8" w:space="0" w:color="993300"/>
              <w:bottom w:val="single" w:sz="8" w:space="0" w:color="993300"/>
            </w:tcBorders>
          </w:tcPr>
          <w:p w:rsidR="0049211D" w:rsidRPr="007B0A30" w:rsidRDefault="0049211D" w:rsidP="005A72A4"/>
        </w:tc>
      </w:tr>
      <w:tr w:rsidR="0049211D" w:rsidRPr="007B0A30" w:rsidTr="005A72A4">
        <w:trPr>
          <w:cantSplit/>
          <w:trHeight w:val="430"/>
        </w:trPr>
        <w:tc>
          <w:tcPr>
            <w:tcW w:w="2160" w:type="dxa"/>
            <w:tcBorders>
              <w:top w:val="single" w:sz="8" w:space="0" w:color="993300"/>
            </w:tcBorders>
            <w:vAlign w:val="center"/>
          </w:tcPr>
          <w:p w:rsidR="0049211D" w:rsidRPr="007B0A30" w:rsidRDefault="0049211D" w:rsidP="005A72A4">
            <w:r w:rsidRPr="007B0A30">
              <w:t>Bez hodnotenia</w:t>
            </w:r>
          </w:p>
        </w:tc>
        <w:tc>
          <w:tcPr>
            <w:tcW w:w="6925" w:type="dxa"/>
            <w:vMerge/>
            <w:tcBorders>
              <w:top w:val="single" w:sz="8" w:space="0" w:color="993300"/>
            </w:tcBorders>
          </w:tcPr>
          <w:p w:rsidR="0049211D" w:rsidRPr="007B0A30" w:rsidRDefault="0049211D" w:rsidP="005A72A4"/>
        </w:tc>
      </w:tr>
      <w:tr w:rsidR="0049211D" w:rsidRPr="007B0A30" w:rsidTr="005A72A4">
        <w:trPr>
          <w:cantSplit/>
        </w:trPr>
        <w:tc>
          <w:tcPr>
            <w:tcW w:w="2160" w:type="dxa"/>
            <w:vAlign w:val="center"/>
          </w:tcPr>
          <w:p w:rsidR="0049211D" w:rsidRPr="007B0A30" w:rsidRDefault="0049211D" w:rsidP="005A72A4"/>
        </w:tc>
        <w:tc>
          <w:tcPr>
            <w:tcW w:w="6925" w:type="dxa"/>
            <w:vMerge/>
          </w:tcPr>
          <w:p w:rsidR="0049211D" w:rsidRPr="007B0A30" w:rsidRDefault="0049211D" w:rsidP="005A72A4"/>
        </w:tc>
      </w:tr>
    </w:tbl>
    <w:p w:rsidR="0049211D" w:rsidRPr="007B0A30" w:rsidRDefault="0049211D" w:rsidP="0049211D"/>
    <w:tbl>
      <w:tblPr>
        <w:tblW w:w="0" w:type="auto"/>
        <w:jc w:val="center"/>
        <w:tblInd w:w="-215" w:type="dxa"/>
        <w:tblLayout w:type="fixed"/>
        <w:tblLook w:val="0000"/>
      </w:tblPr>
      <w:tblGrid>
        <w:gridCol w:w="844"/>
        <w:gridCol w:w="540"/>
        <w:gridCol w:w="847"/>
        <w:gridCol w:w="428"/>
        <w:gridCol w:w="2008"/>
        <w:gridCol w:w="428"/>
        <w:gridCol w:w="3129"/>
      </w:tblGrid>
      <w:tr w:rsidR="0049211D" w:rsidRPr="007B0A30" w:rsidTr="005A72A4">
        <w:trPr>
          <w:jc w:val="center"/>
        </w:trPr>
        <w:tc>
          <w:tcPr>
            <w:tcW w:w="844" w:type="dxa"/>
            <w:vAlign w:val="center"/>
          </w:tcPr>
          <w:p w:rsidR="0049211D" w:rsidRPr="007B0A30" w:rsidRDefault="0049211D" w:rsidP="005A72A4">
            <w:r w:rsidRPr="007B0A30">
              <w:t>ISCED 1</w:t>
            </w:r>
          </w:p>
        </w:tc>
        <w:tc>
          <w:tcPr>
            <w:tcW w:w="540" w:type="dxa"/>
            <w:vAlign w:val="center"/>
          </w:tcPr>
          <w:p w:rsidR="0049211D" w:rsidRPr="007B0A30" w:rsidRDefault="0049211D" w:rsidP="005A72A4">
            <w:r>
              <w:rPr>
                <w:noProof/>
                <w:lang w:val="sk-SK" w:eastAsia="sk-SK"/>
              </w:rPr>
              <w:drawing>
                <wp:inline distT="0" distB="0" distL="0" distR="0">
                  <wp:extent cx="161290" cy="304800"/>
                  <wp:effectExtent l="19050" t="0" r="0" b="0"/>
                  <wp:docPr id="8" name="Obrázok 8" descr="G:\Eurydice_Studies_Databases\030_Technical_Tools\leg\leg_prim_se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urydice_Studies_Databases\030_Technical_Tools\leg\leg_prim_sec.bmp"/>
                          <pic:cNvPicPr>
                            <a:picLocks noChangeAspect="1" noChangeArrowheads="1"/>
                          </pic:cNvPicPr>
                        </pic:nvPicPr>
                        <pic:blipFill>
                          <a:blip r:embed="rId17" cstate="print"/>
                          <a:srcRect/>
                          <a:stretch>
                            <a:fillRect/>
                          </a:stretch>
                        </pic:blipFill>
                        <pic:spPr bwMode="auto">
                          <a:xfrm>
                            <a:off x="0" y="0"/>
                            <a:ext cx="161290" cy="304800"/>
                          </a:xfrm>
                          <a:prstGeom prst="rect">
                            <a:avLst/>
                          </a:prstGeom>
                          <a:noFill/>
                          <a:ln w="9525">
                            <a:noFill/>
                            <a:miter lim="800000"/>
                            <a:headEnd/>
                            <a:tailEnd/>
                          </a:ln>
                        </pic:spPr>
                      </pic:pic>
                    </a:graphicData>
                  </a:graphic>
                </wp:inline>
              </w:drawing>
            </w:r>
          </w:p>
        </w:tc>
        <w:tc>
          <w:tcPr>
            <w:tcW w:w="847" w:type="dxa"/>
            <w:tcBorders>
              <w:right w:val="single" w:sz="4" w:space="0" w:color="auto"/>
            </w:tcBorders>
            <w:vAlign w:val="center"/>
          </w:tcPr>
          <w:p w:rsidR="0049211D" w:rsidRPr="007B0A30" w:rsidRDefault="0049211D" w:rsidP="005A72A4">
            <w:r w:rsidRPr="007B0A30">
              <w:t>ISCED 2</w:t>
            </w:r>
          </w:p>
        </w:tc>
        <w:tc>
          <w:tcPr>
            <w:tcW w:w="428" w:type="dxa"/>
            <w:tcBorders>
              <w:left w:val="single" w:sz="4" w:space="0" w:color="auto"/>
            </w:tcBorders>
            <w:vAlign w:val="center"/>
          </w:tcPr>
          <w:p w:rsidR="0049211D" w:rsidRPr="007B0A30" w:rsidRDefault="0049211D" w:rsidP="005A72A4">
            <w:r>
              <w:rPr>
                <w:noProof/>
                <w:lang w:val="sk-SK" w:eastAsia="sk-SK"/>
              </w:rPr>
              <w:drawing>
                <wp:inline distT="0" distB="0" distL="0" distR="0">
                  <wp:extent cx="125730" cy="125730"/>
                  <wp:effectExtent l="19050" t="0" r="7620" b="0"/>
                  <wp:docPr id="9" name="Obrázok 9" descr="G:\Eurydice_Studies_Databases\030_Technical_Tools\leg\leg_484_10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urydice_Studies_Databases\030_Technical_Tools\leg\leg_484_100.bmp"/>
                          <pic:cNvPicPr>
                            <a:picLocks noChangeAspect="1" noChangeArrowheads="1"/>
                          </pic:cNvPicPr>
                        </pic:nvPicPr>
                        <pic:blipFill>
                          <a:blip r:embed="rId18" cstate="print"/>
                          <a:srcRect/>
                          <a:stretch>
                            <a:fillRect/>
                          </a:stretch>
                        </pic:blipFill>
                        <pic:spPr bwMode="auto">
                          <a:xfrm>
                            <a:off x="0" y="0"/>
                            <a:ext cx="125730" cy="125730"/>
                          </a:xfrm>
                          <a:prstGeom prst="rect">
                            <a:avLst/>
                          </a:prstGeom>
                          <a:noFill/>
                          <a:ln w="9525">
                            <a:noFill/>
                            <a:miter lim="800000"/>
                            <a:headEnd/>
                            <a:tailEnd/>
                          </a:ln>
                        </pic:spPr>
                      </pic:pic>
                    </a:graphicData>
                  </a:graphic>
                </wp:inline>
              </w:drawing>
            </w:r>
          </w:p>
        </w:tc>
        <w:tc>
          <w:tcPr>
            <w:tcW w:w="2008" w:type="dxa"/>
            <w:vAlign w:val="center"/>
          </w:tcPr>
          <w:p w:rsidR="0049211D" w:rsidRPr="007B0A30" w:rsidRDefault="0049211D" w:rsidP="005A72A4">
            <w:r w:rsidRPr="007B0A30">
              <w:t>1 typ stupnice podľa ISCED</w:t>
            </w:r>
          </w:p>
        </w:tc>
        <w:tc>
          <w:tcPr>
            <w:tcW w:w="428" w:type="dxa"/>
            <w:vAlign w:val="center"/>
          </w:tcPr>
          <w:p w:rsidR="0049211D" w:rsidRPr="007B0A30" w:rsidRDefault="0049211D" w:rsidP="005A72A4">
            <w:r>
              <w:rPr>
                <w:noProof/>
                <w:lang w:val="sk-SK" w:eastAsia="sk-SK"/>
              </w:rPr>
              <w:drawing>
                <wp:inline distT="0" distB="0" distL="0" distR="0">
                  <wp:extent cx="125730" cy="125730"/>
                  <wp:effectExtent l="19050" t="0" r="7620" b="0"/>
                  <wp:docPr id="10" name="Obrázok 10" descr="G:\Eurydice_Studies_Databases\030_Technical_Tools\leg\leg_484_17_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urydice_Studies_Databases\030_Technical_Tools\leg\leg_484_17_5.bmp"/>
                          <pic:cNvPicPr>
                            <a:picLocks noChangeAspect="1" noChangeArrowheads="1"/>
                          </pic:cNvPicPr>
                        </pic:nvPicPr>
                        <pic:blipFill>
                          <a:blip r:embed="rId19" cstate="print"/>
                          <a:srcRect/>
                          <a:stretch>
                            <a:fillRect/>
                          </a:stretch>
                        </pic:blipFill>
                        <pic:spPr bwMode="auto">
                          <a:xfrm>
                            <a:off x="0" y="0"/>
                            <a:ext cx="125730" cy="125730"/>
                          </a:xfrm>
                          <a:prstGeom prst="rect">
                            <a:avLst/>
                          </a:prstGeom>
                          <a:noFill/>
                          <a:ln w="9525">
                            <a:noFill/>
                            <a:miter lim="800000"/>
                            <a:headEnd/>
                            <a:tailEnd/>
                          </a:ln>
                        </pic:spPr>
                      </pic:pic>
                    </a:graphicData>
                  </a:graphic>
                </wp:inline>
              </w:drawing>
            </w:r>
          </w:p>
        </w:tc>
        <w:tc>
          <w:tcPr>
            <w:tcW w:w="3129" w:type="dxa"/>
            <w:vAlign w:val="center"/>
          </w:tcPr>
          <w:p w:rsidR="0049211D" w:rsidRPr="007B0A30" w:rsidRDefault="0049211D" w:rsidP="005A72A4">
            <w:r w:rsidRPr="007B0A30">
              <w:t>Viac ako jeden typ stupnice podľa ISCED</w:t>
            </w:r>
          </w:p>
        </w:tc>
      </w:tr>
    </w:tbl>
    <w:p w:rsidR="0049211D" w:rsidRPr="007B0A30" w:rsidRDefault="0049211D" w:rsidP="0049211D">
      <w:pPr>
        <w:rPr>
          <w:highlight w:val="yellow"/>
        </w:rPr>
      </w:pPr>
      <w:r w:rsidRPr="007B0A30">
        <w:t>Zdroj: Eurydice</w:t>
      </w:r>
    </w:p>
    <w:p w:rsidR="0049211D" w:rsidRPr="007B0A30" w:rsidRDefault="0049211D" w:rsidP="0049211D"/>
    <w:p w:rsidR="0049211D" w:rsidRPr="007B0A30" w:rsidRDefault="0049211D" w:rsidP="0049211D">
      <w:r w:rsidRPr="007B0A30">
        <w:t>Doplňujúce poznámky</w:t>
      </w:r>
    </w:p>
    <w:p w:rsidR="0049211D" w:rsidRPr="007B0A30" w:rsidRDefault="0049211D" w:rsidP="0049211D">
      <w:r w:rsidRPr="007B0A30">
        <w:t xml:space="preserve">Bulharsko: Informácie </w:t>
      </w:r>
      <w:proofErr w:type="gramStart"/>
      <w:r w:rsidRPr="007B0A30">
        <w:t>na</w:t>
      </w:r>
      <w:proofErr w:type="gramEnd"/>
      <w:r w:rsidRPr="007B0A30">
        <w:t xml:space="preserve"> národnej úrovni nie sú overené </w:t>
      </w:r>
    </w:p>
    <w:p w:rsidR="0049211D" w:rsidRPr="007B0A30" w:rsidRDefault="0049211D" w:rsidP="0049211D">
      <w:r w:rsidRPr="007B0A30">
        <w:t xml:space="preserve">Dánsko: Na úrovni ISCED 2 </w:t>
      </w:r>
      <w:proofErr w:type="gramStart"/>
      <w:r w:rsidRPr="007B0A30">
        <w:t>sa</w:t>
      </w:r>
      <w:proofErr w:type="gramEnd"/>
      <w:r w:rsidRPr="007B0A30">
        <w:t xml:space="preserve"> používa iba numerická stupnica známok v 8. </w:t>
      </w:r>
      <w:proofErr w:type="gramStart"/>
      <w:r w:rsidRPr="007B0A30">
        <w:t>a</w:t>
      </w:r>
      <w:proofErr w:type="gramEnd"/>
      <w:r w:rsidRPr="007B0A30">
        <w:t xml:space="preserve"> 9. </w:t>
      </w:r>
      <w:proofErr w:type="gramStart"/>
      <w:r w:rsidRPr="007B0A30">
        <w:t>ročníku</w:t>
      </w:r>
      <w:proofErr w:type="gramEnd"/>
      <w:r w:rsidRPr="007B0A30">
        <w:t xml:space="preserve"> vo voliteľných umeleckých predmetoch.</w:t>
      </w:r>
    </w:p>
    <w:p w:rsidR="0049211D" w:rsidRPr="007B0A30" w:rsidRDefault="0049211D" w:rsidP="0049211D">
      <w:r w:rsidRPr="007B0A30">
        <w:t xml:space="preserve">Estónsko: Na úrovni ISCED 1 v 1. </w:t>
      </w:r>
      <w:proofErr w:type="gramStart"/>
      <w:r w:rsidRPr="007B0A30">
        <w:t>a</w:t>
      </w:r>
      <w:proofErr w:type="gramEnd"/>
      <w:r w:rsidRPr="007B0A30">
        <w:t xml:space="preserve"> 2. </w:t>
      </w:r>
      <w:proofErr w:type="gramStart"/>
      <w:r w:rsidRPr="007B0A30">
        <w:t>ročníku</w:t>
      </w:r>
      <w:proofErr w:type="gramEnd"/>
      <w:r w:rsidRPr="007B0A30">
        <w:t xml:space="preserve"> sa môže robiť verbálne hodnotenie. </w:t>
      </w:r>
    </w:p>
    <w:p w:rsidR="0049211D" w:rsidRPr="007B0A30" w:rsidRDefault="0049211D" w:rsidP="0049211D">
      <w:r w:rsidRPr="007B0A30">
        <w:t xml:space="preserve">Grécko: Na úrovni ISCED 1 </w:t>
      </w:r>
      <w:proofErr w:type="gramStart"/>
      <w:r w:rsidRPr="007B0A30">
        <w:t>sa</w:t>
      </w:r>
      <w:proofErr w:type="gramEnd"/>
      <w:r w:rsidRPr="007B0A30">
        <w:t xml:space="preserve"> používa verbálne hodnotenie v 1. </w:t>
      </w:r>
      <w:proofErr w:type="gramStart"/>
      <w:r w:rsidRPr="007B0A30">
        <w:t>a</w:t>
      </w:r>
      <w:proofErr w:type="gramEnd"/>
      <w:r w:rsidRPr="007B0A30">
        <w:t xml:space="preserve"> 2. </w:t>
      </w:r>
      <w:proofErr w:type="gramStart"/>
      <w:r w:rsidRPr="007B0A30">
        <w:t>ročníkoch</w:t>
      </w:r>
      <w:proofErr w:type="gramEnd"/>
      <w:r w:rsidRPr="007B0A30">
        <w:t xml:space="preserve">. Stupnica písmen </w:t>
      </w:r>
      <w:proofErr w:type="gramStart"/>
      <w:r w:rsidRPr="007B0A30">
        <w:t>sa</w:t>
      </w:r>
      <w:proofErr w:type="gramEnd"/>
      <w:r w:rsidRPr="007B0A30">
        <w:t xml:space="preserve"> používa v ročníkoch 3 a 4. Verbálne a numerické známky </w:t>
      </w:r>
      <w:proofErr w:type="gramStart"/>
      <w:r w:rsidRPr="007B0A30">
        <w:t>sa</w:t>
      </w:r>
      <w:proofErr w:type="gramEnd"/>
      <w:r w:rsidRPr="007B0A30">
        <w:t xml:space="preserve"> používajú v 5. </w:t>
      </w:r>
      <w:proofErr w:type="gramStart"/>
      <w:r w:rsidRPr="007B0A30">
        <w:t>a</w:t>
      </w:r>
      <w:proofErr w:type="gramEnd"/>
      <w:r w:rsidRPr="007B0A30">
        <w:t xml:space="preserve"> 6. </w:t>
      </w:r>
      <w:proofErr w:type="gramStart"/>
      <w:r w:rsidRPr="007B0A30">
        <w:t>ročníku</w:t>
      </w:r>
      <w:proofErr w:type="gramEnd"/>
      <w:r w:rsidRPr="007B0A30">
        <w:t xml:space="preserve">. </w:t>
      </w:r>
    </w:p>
    <w:p w:rsidR="0049211D" w:rsidRPr="007B0A30" w:rsidRDefault="0049211D" w:rsidP="0049211D">
      <w:r w:rsidRPr="007B0A30">
        <w:t xml:space="preserve">Španielsko: Na úrovni ISCED 2 postupne, realizovaním nového zákona z roku 2006, sú verbálne známky doplnkom k numerickým. </w:t>
      </w:r>
    </w:p>
    <w:p w:rsidR="0049211D" w:rsidRPr="007B0A30" w:rsidRDefault="0049211D" w:rsidP="0049211D">
      <w:r w:rsidRPr="007B0A30">
        <w:t xml:space="preserve">Lotyšsko: Na úrovni ISCED 1 </w:t>
      </w:r>
      <w:proofErr w:type="gramStart"/>
      <w:r w:rsidRPr="007B0A30">
        <w:t>sa</w:t>
      </w:r>
      <w:proofErr w:type="gramEnd"/>
      <w:r w:rsidRPr="007B0A30">
        <w:t xml:space="preserve"> počas prvých štyroch ročníkov robia verbálne komentáre. </w:t>
      </w:r>
      <w:proofErr w:type="gramStart"/>
      <w:r w:rsidRPr="007B0A30">
        <w:t>Počas ďalších dvoch ročníkov je systém ten istý ako pre úroveň ISCED 2.</w:t>
      </w:r>
      <w:proofErr w:type="gramEnd"/>
      <w:r w:rsidRPr="007B0A30">
        <w:t xml:space="preserve"> </w:t>
      </w:r>
    </w:p>
    <w:p w:rsidR="0049211D" w:rsidRPr="007B0A30" w:rsidRDefault="0049211D" w:rsidP="0049211D">
      <w:r w:rsidRPr="007B0A30">
        <w:t xml:space="preserve">Poľsko: Na úrovni ISCED 1 </w:t>
      </w:r>
      <w:proofErr w:type="gramStart"/>
      <w:r w:rsidRPr="007B0A30">
        <w:t>sa</w:t>
      </w:r>
      <w:proofErr w:type="gramEnd"/>
      <w:r w:rsidRPr="007B0A30">
        <w:t xml:space="preserve"> počas prvých troch ročníkov používajú verbálne komentáre, následne sa výsledky vyjadrujú na základe numerickej stupnice. </w:t>
      </w:r>
    </w:p>
    <w:p w:rsidR="0049211D" w:rsidRPr="007B0A30" w:rsidRDefault="0049211D" w:rsidP="0049211D">
      <w:r w:rsidRPr="007B0A30">
        <w:t xml:space="preserve">Portugalsko: Na úrovni ISCED 1 </w:t>
      </w:r>
      <w:proofErr w:type="gramStart"/>
      <w:r w:rsidRPr="007B0A30">
        <w:t>sa</w:t>
      </w:r>
      <w:proofErr w:type="gramEnd"/>
      <w:r w:rsidRPr="007B0A30">
        <w:t xml:space="preserve"> používajú verbálne komentáre počas prvých štyroch ročníkov. </w:t>
      </w:r>
      <w:proofErr w:type="gramStart"/>
      <w:r w:rsidRPr="007B0A30">
        <w:t>Počas posledných dvoch ročníkov tejto úrovne je systém identický s ISCED 2.</w:t>
      </w:r>
      <w:proofErr w:type="gramEnd"/>
      <w:r w:rsidRPr="007B0A30">
        <w:t xml:space="preserve"> </w:t>
      </w:r>
    </w:p>
    <w:p w:rsidR="0049211D" w:rsidRPr="007B0A30" w:rsidRDefault="0049211D" w:rsidP="0049211D">
      <w:r w:rsidRPr="007B0A30">
        <w:t xml:space="preserve">Fínsko: Hodnotiace výsledky môžu byť vyjadrené numericky, verbálne alebo kombináciou oboch. </w:t>
      </w:r>
      <w:proofErr w:type="gramStart"/>
      <w:r w:rsidRPr="007B0A30">
        <w:t>Vo</w:t>
      </w:r>
      <w:proofErr w:type="gramEnd"/>
      <w:r w:rsidRPr="007B0A30">
        <w:t xml:space="preserve"> všetkých hlavných vyučovacích predmetoch (vrátane umeleckých predmetov) sa musí zaviesť najneskôr v 8. </w:t>
      </w:r>
      <w:proofErr w:type="gramStart"/>
      <w:r w:rsidRPr="007B0A30">
        <w:t>ročníku</w:t>
      </w:r>
      <w:proofErr w:type="gramEnd"/>
      <w:r w:rsidRPr="007B0A30">
        <w:t xml:space="preserve"> numerická stupnica. </w:t>
      </w:r>
    </w:p>
    <w:p w:rsidR="0049211D" w:rsidRPr="007B0A30" w:rsidRDefault="0049211D" w:rsidP="0049211D">
      <w:r w:rsidRPr="007B0A30">
        <w:t xml:space="preserve">Švédsko: Informácie </w:t>
      </w:r>
      <w:proofErr w:type="gramStart"/>
      <w:r w:rsidRPr="007B0A30">
        <w:t>na</w:t>
      </w:r>
      <w:proofErr w:type="gramEnd"/>
      <w:r w:rsidRPr="007B0A30">
        <w:t xml:space="preserve"> úrovni ISCED 2 sa vzťahujú iba k dvom posledným ročníkom. </w:t>
      </w:r>
      <w:proofErr w:type="gramStart"/>
      <w:r w:rsidRPr="007B0A30">
        <w:t>Od</w:t>
      </w:r>
      <w:proofErr w:type="gramEnd"/>
      <w:r w:rsidRPr="007B0A30">
        <w:t xml:space="preserve"> roku 2008/09 musia dostať všetci žiaci na úrovni základného a nižšieho stredného vzdelávania v každom predmete písomný komentár o ich znalosti predmetu. </w:t>
      </w:r>
    </w:p>
    <w:p w:rsidR="0049211D" w:rsidRPr="007B0A30" w:rsidRDefault="0049211D" w:rsidP="0049211D">
      <w:r w:rsidRPr="007B0A30">
        <w:t xml:space="preserve">Slovinsko: Na úrovni ISCED 1 </w:t>
      </w:r>
      <w:proofErr w:type="gramStart"/>
      <w:r w:rsidRPr="007B0A30">
        <w:t>sa</w:t>
      </w:r>
      <w:proofErr w:type="gramEnd"/>
      <w:r w:rsidRPr="007B0A30">
        <w:t xml:space="preserve"> používa verbálna stupnica známkovania počas prvých troch ročníkov. </w:t>
      </w:r>
      <w:proofErr w:type="gramStart"/>
      <w:r w:rsidRPr="007B0A30">
        <w:t>V 4.</w:t>
      </w:r>
      <w:proofErr w:type="gramEnd"/>
      <w:r w:rsidRPr="007B0A30">
        <w:t xml:space="preserve"> </w:t>
      </w:r>
      <w:proofErr w:type="gramStart"/>
      <w:r w:rsidRPr="007B0A30">
        <w:t>a</w:t>
      </w:r>
      <w:proofErr w:type="gramEnd"/>
      <w:r w:rsidRPr="007B0A30">
        <w:t xml:space="preserve"> 5. </w:t>
      </w:r>
      <w:proofErr w:type="gramStart"/>
      <w:r w:rsidRPr="007B0A30">
        <w:t>ročníku</w:t>
      </w:r>
      <w:proofErr w:type="gramEnd"/>
      <w:r w:rsidRPr="007B0A30">
        <w:t xml:space="preserve"> sa používa verbálna a numerická stupnica známkovania, vo vyšších ročníkoch numerická stupnica.</w:t>
      </w:r>
    </w:p>
    <w:p w:rsidR="0049211D" w:rsidRPr="007B0A30" w:rsidRDefault="0049211D" w:rsidP="0049211D">
      <w:r w:rsidRPr="007B0A30">
        <w:t xml:space="preserve">Slovensko: Na úrovni ISCED 1 </w:t>
      </w:r>
      <w:proofErr w:type="gramStart"/>
      <w:r w:rsidRPr="007B0A30">
        <w:t>sa</w:t>
      </w:r>
      <w:proofErr w:type="gramEnd"/>
      <w:r w:rsidRPr="007B0A30">
        <w:t xml:space="preserve"> používajú verbálne komentáre v prvom ročníku. </w:t>
      </w:r>
    </w:p>
    <w:p w:rsidR="0049211D" w:rsidRPr="007B0A30" w:rsidRDefault="0049211D" w:rsidP="0049211D">
      <w:r w:rsidRPr="007B0A30">
        <w:t>Vysvetlivka</w:t>
      </w:r>
    </w:p>
    <w:p w:rsidR="0049211D" w:rsidRPr="007B0A30" w:rsidRDefault="0049211D" w:rsidP="0049211D">
      <w:proofErr w:type="gramStart"/>
      <w:r w:rsidRPr="007B0A30">
        <w:t>V jednom štáte môže spoločne existovať niekoľko hodnotiacich stupníc.</w:t>
      </w:r>
      <w:proofErr w:type="gramEnd"/>
      <w:r w:rsidRPr="007B0A30">
        <w:t xml:space="preserve"> Uvedené sú len tie, ktoré sú predmetom odporúčaní alebo nariadení centrálnych školských inštitúcií. Akákoľvek numerická </w:t>
      </w:r>
      <w:proofErr w:type="gramStart"/>
      <w:r w:rsidRPr="007B0A30">
        <w:t>a</w:t>
      </w:r>
      <w:proofErr w:type="gramEnd"/>
      <w:r w:rsidRPr="007B0A30">
        <w:t xml:space="preserve"> abecedná stupnica predpokladá implicitnú alebo explicitnú definíciu každej hodnoty. </w:t>
      </w:r>
      <w:proofErr w:type="gramStart"/>
      <w:r w:rsidRPr="007B0A30">
        <w:t>Je to špecifikované v ukazovateli 4.3.</w:t>
      </w:r>
      <w:proofErr w:type="gramEnd"/>
      <w:r w:rsidRPr="007B0A30">
        <w:t xml:space="preserve"> Škála verbálnej známkovacej kategórie zahŕňa stupnice navrhnuté iba </w:t>
      </w:r>
      <w:proofErr w:type="gramStart"/>
      <w:r w:rsidRPr="007B0A30">
        <w:t>na</w:t>
      </w:r>
      <w:proofErr w:type="gramEnd"/>
      <w:r w:rsidRPr="007B0A30">
        <w:t xml:space="preserve"> základe slov alebo verbálneho vyjadrenia, bez odkazu na čísla alebo písmená. </w:t>
      </w:r>
    </w:p>
    <w:p w:rsidR="0049211D" w:rsidRPr="007B0A30" w:rsidRDefault="0049211D" w:rsidP="0049211D"/>
    <w:p w:rsidR="0049211D" w:rsidRPr="007B0A30" w:rsidRDefault="0049211D" w:rsidP="0049211D"/>
    <w:p w:rsidR="0049211D" w:rsidRPr="007B0A30" w:rsidRDefault="0049211D" w:rsidP="0049211D">
      <w:r>
        <w:rPr>
          <w:noProof/>
          <w:lang w:val="sk-SK" w:eastAsia="sk-SK"/>
        </w:rPr>
        <w:drawing>
          <wp:inline distT="0" distB="0" distL="0" distR="0">
            <wp:extent cx="5845175" cy="143510"/>
            <wp:effectExtent l="19050" t="0" r="3175" b="0"/>
            <wp:docPr id="11" name="Obrázok 11" descr="U:\026_School_autonomy\graph\leg\leg_fermeture.eps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U:\026_School_autonomy\graph\leg\leg_fermeture.eps  "/>
                    <pic:cNvPicPr preferRelativeResize="0">
                      <a:picLocks noChangeArrowheads="1"/>
                    </pic:cNvPicPr>
                  </pic:nvPicPr>
                  <pic:blipFill>
                    <a:blip r:embed="rId11"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49211D" w:rsidRPr="007B0A30" w:rsidRDefault="0049211D" w:rsidP="0049211D">
      <w:r w:rsidRPr="007B0A30">
        <w:t xml:space="preserve">V Spojenom Kráľovstve (ANG/WLS), v zhode s politikou a stratégiou zavedenou v škole, môžu učitelia používať akékoľvek stupnice hodnotenia. Napriek tomu, </w:t>
      </w:r>
      <w:proofErr w:type="gramStart"/>
      <w:r w:rsidRPr="007B0A30">
        <w:t>na</w:t>
      </w:r>
      <w:proofErr w:type="gramEnd"/>
      <w:r w:rsidRPr="007B0A30">
        <w:t xml:space="preserve"> konci každého kľúčového štádia musia rodičom poskytnúť posudok o práci dieťaťa vychádzajúci zo stupnice deskriptorov. </w:t>
      </w:r>
    </w:p>
    <w:p w:rsidR="0049211D" w:rsidRPr="007B0A30" w:rsidRDefault="0049211D" w:rsidP="0049211D"/>
    <w:p w:rsidR="0049211D" w:rsidRPr="007B0A30" w:rsidRDefault="0049211D" w:rsidP="0049211D">
      <w:r w:rsidRPr="007B0A30">
        <w:t xml:space="preserve">Ukazovateľ 4.3: Stupnice známkovania: definícia hodnôt. </w:t>
      </w:r>
      <w:r w:rsidRPr="007B0A30">
        <w:br/>
      </w:r>
      <w:proofErr w:type="gramStart"/>
      <w:r w:rsidRPr="007B0A30">
        <w:t>úroveň</w:t>
      </w:r>
      <w:proofErr w:type="gramEnd"/>
      <w:r w:rsidRPr="007B0A30">
        <w:t xml:space="preserve"> ISCED 1 a 2, 2007/08</w:t>
      </w:r>
    </w:p>
    <w:tbl>
      <w:tblPr>
        <w:tblW w:w="907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900"/>
        <w:gridCol w:w="4164"/>
        <w:gridCol w:w="4007"/>
      </w:tblGrid>
      <w:tr w:rsidR="0049211D" w:rsidRPr="007B0A30" w:rsidTr="005A72A4">
        <w:trPr>
          <w:tblHeader/>
        </w:trPr>
        <w:tc>
          <w:tcPr>
            <w:tcW w:w="900" w:type="dxa"/>
            <w:tcBorders>
              <w:top w:val="nil"/>
              <w:left w:val="nil"/>
            </w:tcBorders>
            <w:vAlign w:val="center"/>
          </w:tcPr>
          <w:p w:rsidR="0049211D" w:rsidRPr="007B0A30" w:rsidRDefault="0049211D" w:rsidP="005A72A4"/>
        </w:tc>
        <w:tc>
          <w:tcPr>
            <w:tcW w:w="4164" w:type="dxa"/>
            <w:shd w:val="clear" w:color="auto" w:fill="CCCCCC"/>
            <w:vAlign w:val="center"/>
          </w:tcPr>
          <w:p w:rsidR="0049211D" w:rsidRPr="007B0A30" w:rsidRDefault="0049211D" w:rsidP="005A72A4">
            <w:r w:rsidRPr="007B0A30">
              <w:t>ISCED 1</w:t>
            </w:r>
          </w:p>
        </w:tc>
        <w:tc>
          <w:tcPr>
            <w:tcW w:w="4007" w:type="dxa"/>
            <w:shd w:val="clear" w:color="auto" w:fill="CCCCCC"/>
            <w:vAlign w:val="center"/>
          </w:tcPr>
          <w:p w:rsidR="0049211D" w:rsidRPr="007B0A30" w:rsidRDefault="0049211D" w:rsidP="005A72A4">
            <w:r w:rsidRPr="007B0A30">
              <w:t>ISCED 2</w:t>
            </w:r>
          </w:p>
        </w:tc>
      </w:tr>
      <w:tr w:rsidR="0049211D" w:rsidRPr="007B0A30" w:rsidTr="005A72A4">
        <w:tc>
          <w:tcPr>
            <w:tcW w:w="900" w:type="dxa"/>
          </w:tcPr>
          <w:p w:rsidR="0049211D" w:rsidRPr="007B0A30" w:rsidRDefault="0049211D" w:rsidP="005A72A4">
            <w:r w:rsidRPr="007B0A30">
              <w:t>BG</w:t>
            </w:r>
          </w:p>
        </w:tc>
        <w:tc>
          <w:tcPr>
            <w:tcW w:w="4164" w:type="dxa"/>
          </w:tcPr>
          <w:p w:rsidR="0049211D" w:rsidRPr="007B0A30" w:rsidRDefault="0049211D" w:rsidP="005A72A4">
            <w:r w:rsidRPr="007B0A30">
              <w:t>Netýka sa</w:t>
            </w:r>
          </w:p>
        </w:tc>
        <w:tc>
          <w:tcPr>
            <w:tcW w:w="4007" w:type="dxa"/>
          </w:tcPr>
          <w:p w:rsidR="0049211D" w:rsidRPr="007B0A30" w:rsidRDefault="0049211D" w:rsidP="005A72A4">
            <w:r w:rsidRPr="007B0A30">
              <w:t>2-6</w:t>
            </w:r>
          </w:p>
        </w:tc>
      </w:tr>
      <w:tr w:rsidR="0049211D" w:rsidRPr="007B0A30" w:rsidTr="005A72A4">
        <w:tc>
          <w:tcPr>
            <w:tcW w:w="900" w:type="dxa"/>
          </w:tcPr>
          <w:p w:rsidR="0049211D" w:rsidRPr="007B0A30" w:rsidRDefault="0049211D" w:rsidP="005A72A4">
            <w:r w:rsidRPr="007B0A30">
              <w:t>CZ</w:t>
            </w:r>
          </w:p>
        </w:tc>
        <w:tc>
          <w:tcPr>
            <w:tcW w:w="4164" w:type="dxa"/>
          </w:tcPr>
          <w:p w:rsidR="0049211D" w:rsidRPr="007B0A30" w:rsidRDefault="0049211D" w:rsidP="005A72A4">
            <w:r w:rsidRPr="007B0A30">
              <w:t>Netýka sa</w:t>
            </w:r>
          </w:p>
        </w:tc>
        <w:tc>
          <w:tcPr>
            <w:tcW w:w="4007" w:type="dxa"/>
          </w:tcPr>
          <w:p w:rsidR="0049211D" w:rsidRPr="007B0A30" w:rsidRDefault="0049211D" w:rsidP="005A72A4">
            <w:r w:rsidRPr="007B0A30">
              <w:t>1 (výborný), 2 (veľmi dobrý), 3 (dobrý), 4 (dostatočný), 5 (nedostatočný).</w:t>
            </w:r>
          </w:p>
        </w:tc>
      </w:tr>
      <w:tr w:rsidR="0049211D" w:rsidRPr="007B0A30" w:rsidTr="005A72A4">
        <w:tc>
          <w:tcPr>
            <w:tcW w:w="900" w:type="dxa"/>
          </w:tcPr>
          <w:p w:rsidR="0049211D" w:rsidRPr="007B0A30" w:rsidRDefault="0049211D" w:rsidP="005A72A4">
            <w:r w:rsidRPr="007B0A30">
              <w:t>DK</w:t>
            </w:r>
          </w:p>
        </w:tc>
        <w:tc>
          <w:tcPr>
            <w:tcW w:w="4164" w:type="dxa"/>
          </w:tcPr>
          <w:p w:rsidR="0049211D" w:rsidRPr="007B0A30" w:rsidRDefault="0049211D" w:rsidP="005A72A4">
            <w:r w:rsidRPr="007B0A30">
              <w:t>Netýka sa</w:t>
            </w:r>
          </w:p>
        </w:tc>
        <w:tc>
          <w:tcPr>
            <w:tcW w:w="4007" w:type="dxa"/>
          </w:tcPr>
          <w:p w:rsidR="0049211D" w:rsidRPr="007B0A30" w:rsidRDefault="0049211D" w:rsidP="005A72A4">
            <w:r w:rsidRPr="007B0A30">
              <w:t xml:space="preserve">Ročník 7: Netýka sa </w:t>
            </w:r>
          </w:p>
          <w:p w:rsidR="0049211D" w:rsidRPr="007B0A30" w:rsidRDefault="0049211D" w:rsidP="005A72A4">
            <w:r w:rsidRPr="007B0A30">
              <w:t>Ročníky 8 a 9: 12 (výborný), 10 (veľmi dobrý), 7 (dobrý), 4 (priemerný), 2 (dostatočný), 0 (nedostatočný), 3 (neuspokojivý)</w:t>
            </w:r>
          </w:p>
        </w:tc>
      </w:tr>
      <w:tr w:rsidR="0049211D" w:rsidRPr="007B0A30" w:rsidTr="005A72A4">
        <w:tc>
          <w:tcPr>
            <w:tcW w:w="900" w:type="dxa"/>
          </w:tcPr>
          <w:p w:rsidR="0049211D" w:rsidRPr="007B0A30" w:rsidRDefault="0049211D" w:rsidP="005A72A4">
            <w:r w:rsidRPr="007B0A30">
              <w:t>DE</w:t>
            </w:r>
          </w:p>
        </w:tc>
        <w:tc>
          <w:tcPr>
            <w:tcW w:w="8171" w:type="dxa"/>
            <w:gridSpan w:val="2"/>
          </w:tcPr>
          <w:p w:rsidR="0049211D" w:rsidRPr="007B0A30" w:rsidRDefault="0049211D" w:rsidP="005A72A4">
            <w:r w:rsidRPr="007B0A30">
              <w:t>1 (veľmi dobrý), 2 (dobrý), 3 (dostatočný), 4 (adekvátny), 5 (zlý), 6 (veľmi zlý)</w:t>
            </w:r>
          </w:p>
        </w:tc>
      </w:tr>
      <w:tr w:rsidR="0049211D" w:rsidRPr="007B0A30" w:rsidTr="005A72A4">
        <w:tc>
          <w:tcPr>
            <w:tcW w:w="900" w:type="dxa"/>
          </w:tcPr>
          <w:p w:rsidR="0049211D" w:rsidRPr="007B0A30" w:rsidRDefault="0049211D" w:rsidP="005A72A4">
            <w:r w:rsidRPr="007B0A30">
              <w:t>EE</w:t>
            </w:r>
          </w:p>
        </w:tc>
        <w:tc>
          <w:tcPr>
            <w:tcW w:w="8171" w:type="dxa"/>
            <w:gridSpan w:val="2"/>
          </w:tcPr>
          <w:p w:rsidR="0049211D" w:rsidRPr="007B0A30" w:rsidRDefault="0049211D" w:rsidP="005A72A4">
            <w:r w:rsidRPr="007B0A30">
              <w:t>1 (nedostatočný) 2 (slabý), 3 (dostatočný), 4 (dobrý), 5 (veľmi dobrý)</w:t>
            </w:r>
          </w:p>
        </w:tc>
      </w:tr>
      <w:tr w:rsidR="0049211D" w:rsidRPr="007B0A30" w:rsidTr="005A72A4">
        <w:tc>
          <w:tcPr>
            <w:tcW w:w="900" w:type="dxa"/>
          </w:tcPr>
          <w:p w:rsidR="0049211D" w:rsidRPr="007B0A30" w:rsidRDefault="0049211D" w:rsidP="005A72A4">
            <w:r w:rsidRPr="007B0A30">
              <w:t>EL</w:t>
            </w:r>
          </w:p>
        </w:tc>
        <w:tc>
          <w:tcPr>
            <w:tcW w:w="4164" w:type="dxa"/>
          </w:tcPr>
          <w:p w:rsidR="0049211D" w:rsidRPr="007B0A30" w:rsidRDefault="0049211D" w:rsidP="005A72A4">
            <w:r w:rsidRPr="007B0A30">
              <w:t>Ročníky 1-2: Netýka sa</w:t>
            </w:r>
          </w:p>
          <w:p w:rsidR="0049211D" w:rsidRPr="007B0A30" w:rsidRDefault="0049211D" w:rsidP="005A72A4">
            <w:r w:rsidRPr="007B0A30">
              <w:t>Ročníky 3 a 4: A (výborný), B (veľmi dobrý), Γ (dobrý), Δ (priemerný)</w:t>
            </w:r>
          </w:p>
          <w:p w:rsidR="0049211D" w:rsidRPr="007B0A30" w:rsidRDefault="0049211D" w:rsidP="005A72A4">
            <w:r w:rsidRPr="007B0A30">
              <w:t>Ročníky 5 a 6: výborný (9-10), veľmi dobrý (7-8), dobrý (5-6), priemerný (4-1)</w:t>
            </w:r>
          </w:p>
        </w:tc>
        <w:tc>
          <w:tcPr>
            <w:tcW w:w="4007" w:type="dxa"/>
          </w:tcPr>
          <w:p w:rsidR="0049211D" w:rsidRPr="007B0A30" w:rsidRDefault="0049211D" w:rsidP="005A72A4">
            <w:r w:rsidRPr="007B0A30">
              <w:t xml:space="preserve">1-9 (nepostačujúci); 10 (postačujúci); 10-12.5 (priemerný); </w:t>
            </w:r>
            <w:r w:rsidRPr="007B0A30">
              <w:br/>
              <w:t xml:space="preserve">12.5-15.5 (dobrý); 15.5-18.5 (veľmi dobrý); </w:t>
            </w:r>
            <w:r w:rsidRPr="007B0A30">
              <w:br/>
              <w:t>18.5-20 (výborný)</w:t>
            </w:r>
          </w:p>
        </w:tc>
      </w:tr>
      <w:tr w:rsidR="0049211D" w:rsidRPr="007B0A30" w:rsidTr="005A72A4">
        <w:tc>
          <w:tcPr>
            <w:tcW w:w="900" w:type="dxa"/>
          </w:tcPr>
          <w:p w:rsidR="0049211D" w:rsidRPr="007B0A30" w:rsidRDefault="0049211D" w:rsidP="005A72A4">
            <w:r w:rsidRPr="007B0A30">
              <w:t>ES</w:t>
            </w:r>
          </w:p>
        </w:tc>
        <w:tc>
          <w:tcPr>
            <w:tcW w:w="4164" w:type="dxa"/>
          </w:tcPr>
          <w:p w:rsidR="0049211D" w:rsidRPr="007B0A30" w:rsidRDefault="0049211D" w:rsidP="005A72A4">
            <w:r w:rsidRPr="007B0A30">
              <w:t>nedostatočný, dostatočný, dobrý, veľmi dobrý, výborný</w:t>
            </w:r>
          </w:p>
        </w:tc>
        <w:tc>
          <w:tcPr>
            <w:tcW w:w="4007" w:type="dxa"/>
          </w:tcPr>
          <w:p w:rsidR="0049211D" w:rsidRPr="007B0A30" w:rsidRDefault="0049211D" w:rsidP="005A72A4">
            <w:r w:rsidRPr="007B0A30">
              <w:t xml:space="preserve">1-4 (nedostatočný), 5 (dostatočný), 6 (dobrý), </w:t>
            </w:r>
            <w:r w:rsidRPr="007B0A30">
              <w:br/>
              <w:t xml:space="preserve">7-8 (veľmi dobrý), 9-10 (výborný) </w:t>
            </w:r>
          </w:p>
        </w:tc>
      </w:tr>
      <w:tr w:rsidR="0049211D" w:rsidRPr="007B0A30" w:rsidTr="005A72A4">
        <w:tc>
          <w:tcPr>
            <w:tcW w:w="900" w:type="dxa"/>
          </w:tcPr>
          <w:p w:rsidR="0049211D" w:rsidRPr="007B0A30" w:rsidRDefault="0049211D" w:rsidP="005A72A4">
            <w:r w:rsidRPr="007B0A30">
              <w:t>CY</w:t>
            </w:r>
          </w:p>
        </w:tc>
        <w:tc>
          <w:tcPr>
            <w:tcW w:w="4164" w:type="dxa"/>
          </w:tcPr>
          <w:p w:rsidR="0049211D" w:rsidRPr="007B0A30" w:rsidRDefault="0049211D" w:rsidP="005A72A4">
            <w:r w:rsidRPr="007B0A30">
              <w:t>Netýka sa</w:t>
            </w:r>
          </w:p>
        </w:tc>
        <w:tc>
          <w:tcPr>
            <w:tcW w:w="4007" w:type="dxa"/>
          </w:tcPr>
          <w:p w:rsidR="0049211D" w:rsidRPr="007B0A30" w:rsidRDefault="0049211D" w:rsidP="005A72A4">
            <w:r w:rsidRPr="007B0A30">
              <w:t>A (19, 20); B (18-16); C (15-13); D (12-10) a E (alebo menej, čo znamená prepadnutie)</w:t>
            </w:r>
          </w:p>
        </w:tc>
      </w:tr>
      <w:tr w:rsidR="0049211D" w:rsidRPr="007B0A30" w:rsidTr="005A72A4">
        <w:tc>
          <w:tcPr>
            <w:tcW w:w="900" w:type="dxa"/>
          </w:tcPr>
          <w:p w:rsidR="0049211D" w:rsidRPr="007B0A30" w:rsidRDefault="0049211D" w:rsidP="005A72A4">
            <w:r w:rsidRPr="007B0A30">
              <w:t>LV</w:t>
            </w:r>
          </w:p>
        </w:tc>
        <w:tc>
          <w:tcPr>
            <w:tcW w:w="4164" w:type="dxa"/>
          </w:tcPr>
          <w:p w:rsidR="0049211D" w:rsidRPr="007B0A30" w:rsidRDefault="0049211D" w:rsidP="005A72A4">
            <w:r w:rsidRPr="007B0A30">
              <w:t>Ročníky 1-4: Netýka sa</w:t>
            </w:r>
          </w:p>
          <w:p w:rsidR="0049211D" w:rsidRPr="007B0A30" w:rsidRDefault="0049211D" w:rsidP="005A72A4">
            <w:r w:rsidRPr="007B0A30">
              <w:t xml:space="preserve">Ročníky 5-6: 1 (extrémne slabý), 2 (veľmi slabý), </w:t>
            </w:r>
          </w:p>
          <w:p w:rsidR="0049211D" w:rsidRPr="007B0A30" w:rsidRDefault="0049211D" w:rsidP="005A72A4">
            <w:r w:rsidRPr="007B0A30">
              <w:t>3 (slabý ), 4 (takmer dostatočný), 5 (dostatočný), 6 (takmer dobrý), 7 (dobrý), 8 (veľmi dobrý), 9 (výborný), 10 (vynikajúci)</w:t>
            </w:r>
          </w:p>
        </w:tc>
        <w:tc>
          <w:tcPr>
            <w:tcW w:w="4007" w:type="dxa"/>
          </w:tcPr>
          <w:p w:rsidR="0049211D" w:rsidRPr="007B0A30" w:rsidRDefault="0049211D" w:rsidP="005A72A4">
            <w:r w:rsidRPr="007B0A30">
              <w:t xml:space="preserve">1 (extrémne slabý), 2 (veľmi slabý), 3 (slabý), 4 (takmer dostatočný), 5 (dostatočný), 6 (takmer dobrý), </w:t>
            </w:r>
            <w:r w:rsidRPr="007B0A30">
              <w:br/>
              <w:t>7 (dobrý), 8 (veľmi dobrý), 9 (výborný), 10 (vynikajúci)</w:t>
            </w:r>
          </w:p>
        </w:tc>
      </w:tr>
      <w:tr w:rsidR="0049211D" w:rsidRPr="007B0A30" w:rsidTr="005A72A4">
        <w:tc>
          <w:tcPr>
            <w:tcW w:w="900" w:type="dxa"/>
          </w:tcPr>
          <w:p w:rsidR="0049211D" w:rsidRPr="007B0A30" w:rsidRDefault="0049211D" w:rsidP="005A72A4">
            <w:r w:rsidRPr="007B0A30">
              <w:t>LT</w:t>
            </w:r>
          </w:p>
        </w:tc>
        <w:tc>
          <w:tcPr>
            <w:tcW w:w="4164" w:type="dxa"/>
          </w:tcPr>
          <w:p w:rsidR="0049211D" w:rsidRPr="007B0A30" w:rsidRDefault="0049211D" w:rsidP="005A72A4">
            <w:r w:rsidRPr="007B0A30">
              <w:t>Netýka sa</w:t>
            </w:r>
          </w:p>
        </w:tc>
        <w:tc>
          <w:tcPr>
            <w:tcW w:w="4007" w:type="dxa"/>
          </w:tcPr>
          <w:p w:rsidR="0049211D" w:rsidRPr="007B0A30" w:rsidRDefault="0049211D" w:rsidP="005A72A4">
            <w:r w:rsidRPr="007B0A30">
              <w:t xml:space="preserve">10 (výborný); 9 (veľmi dobrý); 8 (dobrý); 7 (veľmi dostatočný); 6 (dostatočný); 5 (postačujúci); </w:t>
            </w:r>
            <w:r w:rsidRPr="007B0A30">
              <w:br/>
              <w:t>4 (nepostačujúci); 3 (nedostatočný); 2 (slabý); 1 (veľmi slabý)</w:t>
            </w:r>
          </w:p>
        </w:tc>
      </w:tr>
      <w:tr w:rsidR="0049211D" w:rsidRPr="007B0A30" w:rsidTr="005A72A4">
        <w:tc>
          <w:tcPr>
            <w:tcW w:w="900" w:type="dxa"/>
          </w:tcPr>
          <w:p w:rsidR="0049211D" w:rsidRPr="007B0A30" w:rsidRDefault="0049211D" w:rsidP="005A72A4">
            <w:r w:rsidRPr="007B0A30">
              <w:t>LU</w:t>
            </w:r>
          </w:p>
        </w:tc>
        <w:tc>
          <w:tcPr>
            <w:tcW w:w="8171" w:type="dxa"/>
            <w:gridSpan w:val="2"/>
          </w:tcPr>
          <w:p w:rsidR="0049211D" w:rsidRPr="007B0A30" w:rsidRDefault="0049211D" w:rsidP="005A72A4">
            <w:r w:rsidRPr="007B0A30">
              <w:t>1-29 (nedostatočne kvalifikované hodnotenie); 30-60 (dostatočne kvalifikované hodnotenie)</w:t>
            </w:r>
          </w:p>
        </w:tc>
      </w:tr>
      <w:tr w:rsidR="0049211D" w:rsidRPr="007B0A30" w:rsidTr="005A72A4">
        <w:tc>
          <w:tcPr>
            <w:tcW w:w="900" w:type="dxa"/>
          </w:tcPr>
          <w:p w:rsidR="0049211D" w:rsidRPr="007B0A30" w:rsidRDefault="0049211D" w:rsidP="005A72A4">
            <w:r w:rsidRPr="007B0A30">
              <w:t>HU</w:t>
            </w:r>
          </w:p>
        </w:tc>
        <w:tc>
          <w:tcPr>
            <w:tcW w:w="4164" w:type="dxa"/>
          </w:tcPr>
          <w:p w:rsidR="0049211D" w:rsidRPr="007B0A30" w:rsidRDefault="0049211D" w:rsidP="005A72A4">
            <w:r w:rsidRPr="007B0A30">
              <w:t>Netýka sa</w:t>
            </w:r>
          </w:p>
        </w:tc>
        <w:tc>
          <w:tcPr>
            <w:tcW w:w="4007" w:type="dxa"/>
          </w:tcPr>
          <w:p w:rsidR="0049211D" w:rsidRPr="007B0A30" w:rsidRDefault="0049211D" w:rsidP="005A72A4">
            <w:r w:rsidRPr="007B0A30">
              <w:t xml:space="preserve">1 (nedostatočný), 2 (dostatočný, postačujúci), </w:t>
            </w:r>
            <w:r w:rsidRPr="007B0A30">
              <w:br/>
              <w:t>3 (priemerný), 4 (dobrý), 5 (výborný).</w:t>
            </w:r>
          </w:p>
        </w:tc>
      </w:tr>
      <w:tr w:rsidR="0049211D" w:rsidRPr="007B0A30" w:rsidTr="005A72A4">
        <w:tc>
          <w:tcPr>
            <w:tcW w:w="900" w:type="dxa"/>
          </w:tcPr>
          <w:p w:rsidR="0049211D" w:rsidRPr="007B0A30" w:rsidRDefault="0049211D" w:rsidP="005A72A4">
            <w:r w:rsidRPr="007B0A30">
              <w:t>MT</w:t>
            </w:r>
          </w:p>
        </w:tc>
        <w:tc>
          <w:tcPr>
            <w:tcW w:w="4164" w:type="dxa"/>
          </w:tcPr>
          <w:p w:rsidR="0049211D" w:rsidRPr="007B0A30" w:rsidRDefault="0049211D" w:rsidP="005A72A4">
            <w:r w:rsidRPr="007B0A30">
              <w:t>Netýka sa</w:t>
            </w:r>
          </w:p>
        </w:tc>
        <w:tc>
          <w:tcPr>
            <w:tcW w:w="4007" w:type="dxa"/>
          </w:tcPr>
          <w:p w:rsidR="0049211D" w:rsidRPr="007B0A30" w:rsidRDefault="0049211D" w:rsidP="005A72A4">
            <w:r w:rsidRPr="007B0A30">
              <w:t xml:space="preserve">1-19 (nedostatočný); 20-39 (dostatočný); </w:t>
            </w:r>
            <w:r w:rsidRPr="007B0A30">
              <w:br/>
              <w:t>40-59 (dobrý); 60-79 (veľmi dobrý); 80-100 (výborný).</w:t>
            </w:r>
          </w:p>
        </w:tc>
      </w:tr>
      <w:tr w:rsidR="0049211D" w:rsidRPr="007B0A30" w:rsidTr="005A72A4">
        <w:tc>
          <w:tcPr>
            <w:tcW w:w="900" w:type="dxa"/>
          </w:tcPr>
          <w:p w:rsidR="0049211D" w:rsidRPr="007B0A30" w:rsidRDefault="0049211D" w:rsidP="005A72A4">
            <w:r w:rsidRPr="007B0A30">
              <w:t>AT</w:t>
            </w:r>
          </w:p>
        </w:tc>
        <w:tc>
          <w:tcPr>
            <w:tcW w:w="8171" w:type="dxa"/>
            <w:gridSpan w:val="2"/>
          </w:tcPr>
          <w:p w:rsidR="0049211D" w:rsidRPr="007B0A30" w:rsidRDefault="0049211D" w:rsidP="005A72A4">
            <w:r w:rsidRPr="007B0A30">
              <w:t>5 (nepostačujúci), 4 (postačujúci), 3 (dostatočný), 2 (dobrý), 1(veľmi dobrý)</w:t>
            </w:r>
          </w:p>
        </w:tc>
      </w:tr>
      <w:tr w:rsidR="0049211D" w:rsidRPr="007B0A30" w:rsidTr="005A72A4">
        <w:tc>
          <w:tcPr>
            <w:tcW w:w="900" w:type="dxa"/>
          </w:tcPr>
          <w:p w:rsidR="0049211D" w:rsidRPr="007B0A30" w:rsidRDefault="0049211D" w:rsidP="005A72A4">
            <w:r w:rsidRPr="007B0A30">
              <w:t>PL</w:t>
            </w:r>
          </w:p>
        </w:tc>
        <w:tc>
          <w:tcPr>
            <w:tcW w:w="4164" w:type="dxa"/>
          </w:tcPr>
          <w:p w:rsidR="0049211D" w:rsidRPr="007B0A30" w:rsidRDefault="0049211D" w:rsidP="005A72A4">
            <w:r w:rsidRPr="007B0A30">
              <w:t>Ročníky 1-3: Netýka sa</w:t>
            </w:r>
          </w:p>
          <w:p w:rsidR="0049211D" w:rsidRPr="007B0A30" w:rsidRDefault="0049211D" w:rsidP="005A72A4">
            <w:r w:rsidRPr="007B0A30">
              <w:t xml:space="preserve">Ročníky 4-6: 6 (výborný), 5 (veľmi dobrý), 4 (dobrý), </w:t>
            </w:r>
            <w:r w:rsidRPr="007B0A30">
              <w:br/>
              <w:t xml:space="preserve">3 (dostatočný), 2 (postačujúci), 1 (prepadnutie) </w:t>
            </w:r>
          </w:p>
        </w:tc>
        <w:tc>
          <w:tcPr>
            <w:tcW w:w="4007" w:type="dxa"/>
          </w:tcPr>
          <w:p w:rsidR="0049211D" w:rsidRPr="007B0A30" w:rsidRDefault="0049211D" w:rsidP="005A72A4">
            <w:r w:rsidRPr="007B0A30">
              <w:t>6 (výborný), 5 (veľmi dobrý), 4 (dobrý), 3 (dostatočný), 2 (postačujúci), 1 (prepadnutie)</w:t>
            </w:r>
          </w:p>
        </w:tc>
      </w:tr>
      <w:tr w:rsidR="0049211D" w:rsidRPr="007B0A30" w:rsidTr="005A72A4">
        <w:tc>
          <w:tcPr>
            <w:tcW w:w="900" w:type="dxa"/>
          </w:tcPr>
          <w:p w:rsidR="0049211D" w:rsidRPr="007B0A30" w:rsidRDefault="0049211D" w:rsidP="005A72A4">
            <w:r w:rsidRPr="007B0A30">
              <w:t>PT</w:t>
            </w:r>
          </w:p>
        </w:tc>
        <w:tc>
          <w:tcPr>
            <w:tcW w:w="4164" w:type="dxa"/>
          </w:tcPr>
          <w:p w:rsidR="0049211D" w:rsidRPr="007B0A30" w:rsidRDefault="0049211D" w:rsidP="005A72A4">
            <w:r w:rsidRPr="007B0A30">
              <w:t xml:space="preserve">Ročníky 1-4 Netýka sa </w:t>
            </w:r>
          </w:p>
          <w:p w:rsidR="0049211D" w:rsidRPr="007B0A30" w:rsidRDefault="0049211D" w:rsidP="005A72A4">
            <w:r w:rsidRPr="007B0A30">
              <w:t>Ročníky 5-6: 1 (veľmi nedostatočný); 2 (nedostatočný); 3 (dostatočný); 4 (dobrý); 5 (veľmi dobrý alebo výborný)</w:t>
            </w:r>
          </w:p>
        </w:tc>
        <w:tc>
          <w:tcPr>
            <w:tcW w:w="4007" w:type="dxa"/>
          </w:tcPr>
          <w:p w:rsidR="0049211D" w:rsidRPr="007B0A30" w:rsidRDefault="0049211D" w:rsidP="005A72A4">
            <w:r w:rsidRPr="007B0A30">
              <w:t>1 (veľmi nedostatočný);2 (nedostatočný); 3 (dostatočný); 4 (dobrý); 5 (veľmi dobrý alebo výborný)</w:t>
            </w:r>
          </w:p>
        </w:tc>
      </w:tr>
      <w:tr w:rsidR="0049211D" w:rsidRPr="007B0A30" w:rsidTr="005A72A4">
        <w:tc>
          <w:tcPr>
            <w:tcW w:w="900" w:type="dxa"/>
          </w:tcPr>
          <w:p w:rsidR="0049211D" w:rsidRPr="007B0A30" w:rsidRDefault="0049211D" w:rsidP="005A72A4">
            <w:r w:rsidRPr="007B0A30">
              <w:t>RO</w:t>
            </w:r>
          </w:p>
        </w:tc>
        <w:tc>
          <w:tcPr>
            <w:tcW w:w="4164" w:type="dxa"/>
          </w:tcPr>
          <w:p w:rsidR="0049211D" w:rsidRPr="007B0A30" w:rsidRDefault="0049211D" w:rsidP="005A72A4">
            <w:r w:rsidRPr="007B0A30">
              <w:t>veľmi dobrý, dobrý, dostatočný, nedostatočný</w:t>
            </w:r>
          </w:p>
        </w:tc>
        <w:tc>
          <w:tcPr>
            <w:tcW w:w="4007" w:type="dxa"/>
          </w:tcPr>
          <w:p w:rsidR="0049211D" w:rsidRPr="007B0A30" w:rsidRDefault="0049211D" w:rsidP="005A72A4">
            <w:r w:rsidRPr="007B0A30">
              <w:t>1-3 (používa sa pri potrestaní správania); 4 (postačujúci); 5-10 (postačujúci)</w:t>
            </w:r>
          </w:p>
        </w:tc>
      </w:tr>
    </w:tbl>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tbl>
      <w:tblPr>
        <w:tblW w:w="907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900"/>
        <w:gridCol w:w="4164"/>
        <w:gridCol w:w="4007"/>
      </w:tblGrid>
      <w:tr w:rsidR="0049211D" w:rsidRPr="007B0A30" w:rsidTr="005A72A4">
        <w:trPr>
          <w:tblHeader/>
        </w:trPr>
        <w:tc>
          <w:tcPr>
            <w:tcW w:w="900" w:type="dxa"/>
            <w:tcBorders>
              <w:top w:val="nil"/>
              <w:left w:val="nil"/>
            </w:tcBorders>
            <w:vAlign w:val="center"/>
          </w:tcPr>
          <w:p w:rsidR="0049211D" w:rsidRPr="007B0A30" w:rsidRDefault="0049211D" w:rsidP="005A72A4"/>
        </w:tc>
        <w:tc>
          <w:tcPr>
            <w:tcW w:w="4164" w:type="dxa"/>
            <w:shd w:val="clear" w:color="auto" w:fill="CCCCCC"/>
            <w:vAlign w:val="center"/>
          </w:tcPr>
          <w:p w:rsidR="0049211D" w:rsidRPr="007B0A30" w:rsidRDefault="0049211D" w:rsidP="005A72A4">
            <w:r w:rsidRPr="007B0A30">
              <w:t>ISCED 1</w:t>
            </w:r>
          </w:p>
        </w:tc>
        <w:tc>
          <w:tcPr>
            <w:tcW w:w="4007" w:type="dxa"/>
            <w:shd w:val="clear" w:color="auto" w:fill="CCCCCC"/>
            <w:vAlign w:val="center"/>
          </w:tcPr>
          <w:p w:rsidR="0049211D" w:rsidRPr="007B0A30" w:rsidRDefault="0049211D" w:rsidP="005A72A4">
            <w:r w:rsidRPr="007B0A30">
              <w:t>ISCED 2</w:t>
            </w:r>
          </w:p>
        </w:tc>
      </w:tr>
      <w:tr w:rsidR="0049211D" w:rsidRPr="007B0A30" w:rsidTr="005A72A4">
        <w:tc>
          <w:tcPr>
            <w:tcW w:w="900" w:type="dxa"/>
          </w:tcPr>
          <w:p w:rsidR="0049211D" w:rsidRPr="007B0A30" w:rsidRDefault="0049211D" w:rsidP="005A72A4">
            <w:r w:rsidRPr="007B0A30">
              <w:t>SI</w:t>
            </w:r>
          </w:p>
        </w:tc>
        <w:tc>
          <w:tcPr>
            <w:tcW w:w="4164" w:type="dxa"/>
          </w:tcPr>
          <w:p w:rsidR="0049211D" w:rsidRPr="007B0A30" w:rsidRDefault="0049211D" w:rsidP="005A72A4">
            <w:r w:rsidRPr="007B0A30">
              <w:t>Ročníky 1-3: dosiahol, dosiahol čiastočne, nedosiahol</w:t>
            </w:r>
          </w:p>
          <w:p w:rsidR="0049211D" w:rsidRPr="007B0A30" w:rsidRDefault="0049211D" w:rsidP="005A72A4">
            <w:r w:rsidRPr="007B0A30">
              <w:t>Ročníky 4-5: 1 (prepadnutie), 2 (postúpenie), 3 (dobrý), 4 (veľmi dobrý), 5 (výborný)</w:t>
            </w:r>
          </w:p>
        </w:tc>
        <w:tc>
          <w:tcPr>
            <w:tcW w:w="4007" w:type="dxa"/>
          </w:tcPr>
          <w:p w:rsidR="0049211D" w:rsidRPr="007B0A30" w:rsidRDefault="0049211D" w:rsidP="005A72A4">
            <w:r w:rsidRPr="007B0A30">
              <w:t>1 (prepadnutie), 2 (postúpenie), 3 (dobrý), 4 (veľmi dobrý), 5 (výborný)</w:t>
            </w:r>
          </w:p>
        </w:tc>
      </w:tr>
      <w:tr w:rsidR="0049211D" w:rsidRPr="007B0A30" w:rsidTr="005A72A4">
        <w:tc>
          <w:tcPr>
            <w:tcW w:w="900" w:type="dxa"/>
          </w:tcPr>
          <w:p w:rsidR="0049211D" w:rsidRPr="007B0A30" w:rsidRDefault="0049211D" w:rsidP="005A72A4">
            <w:r w:rsidRPr="007B0A30">
              <w:t>FI</w:t>
            </w:r>
          </w:p>
        </w:tc>
        <w:tc>
          <w:tcPr>
            <w:tcW w:w="8171" w:type="dxa"/>
            <w:gridSpan w:val="2"/>
          </w:tcPr>
          <w:p w:rsidR="0049211D" w:rsidRPr="007B0A30" w:rsidRDefault="0049211D" w:rsidP="005A72A4">
            <w:r w:rsidRPr="007B0A30">
              <w:t>10 (výborný), 9 (veľmi dobrý), 8 (dobrý), 7 (priemerný), 6 (dostatočný), 5 (slabý), 4 (neúspešný)</w:t>
            </w:r>
          </w:p>
        </w:tc>
      </w:tr>
      <w:tr w:rsidR="0049211D" w:rsidRPr="007B0A30" w:rsidTr="005A72A4">
        <w:tc>
          <w:tcPr>
            <w:tcW w:w="900" w:type="dxa"/>
          </w:tcPr>
          <w:p w:rsidR="0049211D" w:rsidRPr="007B0A30" w:rsidRDefault="0049211D" w:rsidP="005A72A4">
            <w:r w:rsidRPr="007B0A30">
              <w:t>SE</w:t>
            </w:r>
          </w:p>
        </w:tc>
        <w:tc>
          <w:tcPr>
            <w:tcW w:w="4164" w:type="dxa"/>
          </w:tcPr>
          <w:p w:rsidR="0049211D" w:rsidRPr="007B0A30" w:rsidRDefault="0049211D" w:rsidP="005A72A4">
            <w:r w:rsidRPr="007B0A30">
              <w:t>Netýka sa</w:t>
            </w:r>
          </w:p>
        </w:tc>
        <w:tc>
          <w:tcPr>
            <w:tcW w:w="4007" w:type="dxa"/>
          </w:tcPr>
          <w:p w:rsidR="0049211D" w:rsidRPr="007B0A30" w:rsidRDefault="0049211D" w:rsidP="005A72A4">
            <w:r w:rsidRPr="007B0A30">
              <w:t>Ročník 7: netýka sa</w:t>
            </w:r>
          </w:p>
          <w:p w:rsidR="0049211D" w:rsidRPr="007B0A30" w:rsidRDefault="0049211D" w:rsidP="005A72A4">
            <w:r w:rsidRPr="007B0A30">
              <w:t>Ročník 8 a 9: G (postúpil), VG (postúpil s vyznamenaním), MVG (postúpil s výnimočným vyznamenaním)</w:t>
            </w:r>
          </w:p>
        </w:tc>
      </w:tr>
      <w:tr w:rsidR="0049211D" w:rsidRPr="007B0A30" w:rsidTr="005A72A4">
        <w:tc>
          <w:tcPr>
            <w:tcW w:w="900" w:type="dxa"/>
          </w:tcPr>
          <w:p w:rsidR="0049211D" w:rsidRPr="007B0A30" w:rsidRDefault="0049211D" w:rsidP="005A72A4">
            <w:r w:rsidRPr="007B0A30">
              <w:t>UK-ENG/ WLS</w:t>
            </w:r>
          </w:p>
        </w:tc>
        <w:tc>
          <w:tcPr>
            <w:tcW w:w="8171" w:type="dxa"/>
            <w:gridSpan w:val="2"/>
          </w:tcPr>
          <w:p w:rsidR="0049211D" w:rsidRPr="007B0A30" w:rsidRDefault="0049211D" w:rsidP="005A72A4">
            <w:r w:rsidRPr="007B0A30">
              <w:t>8 stupňová škála + jeden stupeň charakterizuje výnimočný výkon</w:t>
            </w:r>
          </w:p>
        </w:tc>
      </w:tr>
      <w:tr w:rsidR="0049211D" w:rsidRPr="007B0A30" w:rsidTr="005A72A4">
        <w:tc>
          <w:tcPr>
            <w:tcW w:w="900" w:type="dxa"/>
          </w:tcPr>
          <w:p w:rsidR="0049211D" w:rsidRPr="007B0A30" w:rsidRDefault="0049211D" w:rsidP="005A72A4">
            <w:r w:rsidRPr="007B0A30">
              <w:t>LI</w:t>
            </w:r>
          </w:p>
        </w:tc>
        <w:tc>
          <w:tcPr>
            <w:tcW w:w="4164" w:type="dxa"/>
          </w:tcPr>
          <w:p w:rsidR="0049211D" w:rsidRPr="007B0A30" w:rsidRDefault="0049211D" w:rsidP="005A72A4">
            <w:r w:rsidRPr="007B0A30">
              <w:t>pokročilý, priemerný, základná úroveň, nedosahuje základnú úroveň</w:t>
            </w:r>
          </w:p>
        </w:tc>
        <w:tc>
          <w:tcPr>
            <w:tcW w:w="4007" w:type="dxa"/>
          </w:tcPr>
          <w:p w:rsidR="0049211D" w:rsidRPr="007B0A30" w:rsidRDefault="0049211D" w:rsidP="005A72A4">
            <w:r w:rsidRPr="007B0A30">
              <w:t>6 (výborný), 5 (dobrý), 4 (postačujúci), 3 (nepostačujúci), 2 (slabý), 1 (veľmi slabý)</w:t>
            </w:r>
          </w:p>
        </w:tc>
      </w:tr>
      <w:tr w:rsidR="0049211D" w:rsidRPr="007B0A30" w:rsidTr="005A72A4">
        <w:tc>
          <w:tcPr>
            <w:tcW w:w="900" w:type="dxa"/>
          </w:tcPr>
          <w:p w:rsidR="0049211D" w:rsidRPr="007B0A30" w:rsidRDefault="0049211D" w:rsidP="005A72A4">
            <w:r w:rsidRPr="007B0A30">
              <w:t>NO</w:t>
            </w:r>
          </w:p>
        </w:tc>
        <w:tc>
          <w:tcPr>
            <w:tcW w:w="4164" w:type="dxa"/>
          </w:tcPr>
          <w:p w:rsidR="0049211D" w:rsidRPr="007B0A30" w:rsidRDefault="0049211D" w:rsidP="005A72A4">
            <w:r w:rsidRPr="007B0A30">
              <w:t>Netýka sa</w:t>
            </w:r>
          </w:p>
        </w:tc>
        <w:tc>
          <w:tcPr>
            <w:tcW w:w="4007" w:type="dxa"/>
          </w:tcPr>
          <w:p w:rsidR="0049211D" w:rsidRPr="007B0A30" w:rsidRDefault="0049211D" w:rsidP="005A72A4">
            <w:r w:rsidRPr="007B0A30">
              <w:t>6 (veľmi vysoká zručnosť v predmete) – 1 (veľmi malá zručnosť v predmete)</w:t>
            </w:r>
          </w:p>
        </w:tc>
      </w:tr>
    </w:tbl>
    <w:p w:rsidR="0049211D" w:rsidRPr="007B0A30" w:rsidRDefault="0049211D" w:rsidP="0049211D">
      <w:r w:rsidRPr="007B0A30">
        <w:t>Vysvetlivka</w:t>
      </w:r>
    </w:p>
    <w:p w:rsidR="0049211D" w:rsidRPr="007B0A30" w:rsidRDefault="0049211D" w:rsidP="0049211D">
      <w:proofErr w:type="gramStart"/>
      <w:r w:rsidRPr="007B0A30">
        <w:t>V jednom štáte môže existovať niekoľko hodnotiacich stupníc.</w:t>
      </w:r>
      <w:proofErr w:type="gramEnd"/>
      <w:r w:rsidRPr="007B0A30">
        <w:t xml:space="preserve"> Uvedené sú len tie, ktoré sú predmetom odporúčaní alebo nariadení centrálnych školských inštitúcií. </w:t>
      </w:r>
    </w:p>
    <w:p w:rsidR="0049211D" w:rsidRPr="007B0A30" w:rsidRDefault="0049211D" w:rsidP="0049211D">
      <w:r>
        <w:rPr>
          <w:noProof/>
          <w:lang w:val="sk-SK" w:eastAsia="sk-SK"/>
        </w:rPr>
        <w:drawing>
          <wp:inline distT="0" distB="0" distL="0" distR="0">
            <wp:extent cx="5845175" cy="143510"/>
            <wp:effectExtent l="19050" t="0" r="3175" b="0"/>
            <wp:docPr id="12" name="Obrázok 12" descr="U:\026_School_autonomy\graph\leg\leg_fermeture.eps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U:\026_School_autonomy\graph\leg\leg_fermeture.eps  "/>
                    <pic:cNvPicPr preferRelativeResize="0">
                      <a:picLocks noChangeArrowheads="1"/>
                    </pic:cNvPicPr>
                  </pic:nvPicPr>
                  <pic:blipFill>
                    <a:blip r:embed="rId11"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49211D" w:rsidRPr="007B0A30" w:rsidRDefault="0049211D" w:rsidP="0049211D">
      <w:r w:rsidRPr="007B0A30">
        <w:t xml:space="preserve">&amp;3 Vplyv hodnotenia </w:t>
      </w:r>
      <w:proofErr w:type="gramStart"/>
      <w:r w:rsidRPr="007B0A30">
        <w:t>na</w:t>
      </w:r>
      <w:proofErr w:type="gramEnd"/>
      <w:r w:rsidRPr="007B0A30">
        <w:t xml:space="preserve"> rozvoj žiaka</w:t>
      </w:r>
    </w:p>
    <w:p w:rsidR="0049211D" w:rsidRPr="007B0A30" w:rsidRDefault="0049211D" w:rsidP="0049211D">
      <w:proofErr w:type="gramStart"/>
      <w:r w:rsidRPr="007B0A30">
        <w:t>Keď je dobré hodnotenie, učiteľ aj žiaci majú hodnotné informácie o úrovni nadobudnutých vedomostí a zručnosti každého žiaka v triede.</w:t>
      </w:r>
      <w:proofErr w:type="gramEnd"/>
      <w:r w:rsidRPr="007B0A30">
        <w:t xml:space="preserve"> Hodnotenie umožňuje identifikovať akékoľvek problémy a talent, ktoré môžu niektorí žiaci mať, takže </w:t>
      </w:r>
      <w:proofErr w:type="gramStart"/>
      <w:r w:rsidRPr="007B0A30">
        <w:t>sa</w:t>
      </w:r>
      <w:proofErr w:type="gramEnd"/>
      <w:r w:rsidRPr="007B0A30">
        <w:t xml:space="preserve"> môžu prijímať náležité stratégie. </w:t>
      </w:r>
    </w:p>
    <w:p w:rsidR="0049211D" w:rsidRPr="007B0A30" w:rsidRDefault="0049211D" w:rsidP="0049211D">
      <w:r w:rsidRPr="007B0A30">
        <w:t>Stratégie pre žiakov, ktorí majú ťažkosti v umeleckých predmetoch</w:t>
      </w:r>
    </w:p>
    <w:p w:rsidR="0049211D" w:rsidRPr="007B0A30" w:rsidRDefault="0049211D" w:rsidP="0049211D">
      <w:r w:rsidRPr="007B0A30">
        <w:t xml:space="preserve">Regulovaním procesu výučby a učenia a zvlášť formatívne hodnotenie umožňuje učiteľovi získavať predovšetkým informácie o typoch problémov, s ktorými </w:t>
      </w:r>
      <w:proofErr w:type="gramStart"/>
      <w:r w:rsidRPr="007B0A30">
        <w:t>sa</w:t>
      </w:r>
      <w:proofErr w:type="gramEnd"/>
      <w:r w:rsidRPr="007B0A30">
        <w:t xml:space="preserve"> žiaci stretávajú. </w:t>
      </w:r>
      <w:proofErr w:type="gramStart"/>
      <w:r w:rsidRPr="007B0A30">
        <w:t>Ak</w:t>
      </w:r>
      <w:proofErr w:type="gramEnd"/>
      <w:r w:rsidRPr="007B0A30">
        <w:t xml:space="preserve"> sú problémy už identifikované, učiteľ môže zaviesť špecifické a primerané stratégie, aby podporil viac štruktúrované opatrenia, ktoré môže škola povinná odporučiť, ako je to napríklad vo Švédsku. V takých prípadoch môžu byť zriadené špeciálne triedy </w:t>
      </w:r>
      <w:proofErr w:type="gramStart"/>
      <w:r w:rsidRPr="007B0A30">
        <w:t>na</w:t>
      </w:r>
      <w:proofErr w:type="gramEnd"/>
      <w:r w:rsidRPr="007B0A30">
        <w:t xml:space="preserve"> doučovanie. V Maďarsku, </w:t>
      </w:r>
      <w:proofErr w:type="gramStart"/>
      <w:r w:rsidRPr="007B0A30">
        <w:t>ak</w:t>
      </w:r>
      <w:proofErr w:type="gramEnd"/>
      <w:r w:rsidRPr="007B0A30">
        <w:t xml:space="preserve"> má žiak zlé výsledky na úrovni základného vzdelávania, rodičia dostanú písomnú správu. Neskôr sú pozvaní </w:t>
      </w:r>
      <w:proofErr w:type="gramStart"/>
      <w:r w:rsidRPr="007B0A30">
        <w:t>na</w:t>
      </w:r>
      <w:proofErr w:type="gramEnd"/>
      <w:r w:rsidRPr="007B0A30">
        <w:t xml:space="preserve"> hodnotiaci proces, aby spolu s dieťaťom a učiteľom zistili dôvod zlých výkonov. </w:t>
      </w:r>
    </w:p>
    <w:p w:rsidR="0049211D" w:rsidRPr="007B0A30" w:rsidRDefault="0049211D" w:rsidP="0049211D">
      <w:r w:rsidRPr="007B0A30">
        <w:t xml:space="preserve">Dva štáty, Grécko (iba úroveň ISCED 1) a Rakúsko uvádzajú, že v praxi </w:t>
      </w:r>
      <w:proofErr w:type="gramStart"/>
      <w:r w:rsidRPr="007B0A30">
        <w:t>sa</w:t>
      </w:r>
      <w:proofErr w:type="gramEnd"/>
      <w:r w:rsidRPr="007B0A30">
        <w:t xml:space="preserve"> učitelia vyhýbajú hodnoteniu zlými známkami v umeleckých predmetoch a žiaci málokedy zlyhajú. </w:t>
      </w:r>
      <w:proofErr w:type="gramStart"/>
      <w:r w:rsidRPr="007B0A30">
        <w:t>Podobne v Maďarsku, učitelia dávajú stupeň “nedostatočný” len vtedy, keď žiaci extrémne zanedbávali svoju prácu.</w:t>
      </w:r>
      <w:proofErr w:type="gramEnd"/>
    </w:p>
    <w:p w:rsidR="0049211D" w:rsidRPr="007B0A30" w:rsidRDefault="0049211D" w:rsidP="0049211D">
      <w:proofErr w:type="gramStart"/>
      <w:r w:rsidRPr="007B0A30">
        <w:t>Nedostatočné výsledky dosiahnuté v celkovom hodnotiacom procese vedú učiteľov a viac všeobecne školy, k prijatiu špecifických stratégií.</w:t>
      </w:r>
      <w:proofErr w:type="gramEnd"/>
      <w:r w:rsidRPr="007B0A30">
        <w:t xml:space="preserve"> V niekoľkých štátoch žiaci, ktorých práca </w:t>
      </w:r>
      <w:proofErr w:type="gramStart"/>
      <w:r w:rsidRPr="007B0A30">
        <w:t>na</w:t>
      </w:r>
      <w:proofErr w:type="gramEnd"/>
      <w:r w:rsidRPr="007B0A30">
        <w:t xml:space="preserve"> konci roka je hodnotená ako nedostatočná, majú možnosť alebo dokonca povinnosť preukázať, že požadovanými zručnosťami a vedomosťami disponujú. </w:t>
      </w:r>
      <w:proofErr w:type="gramStart"/>
      <w:r w:rsidRPr="007B0A30">
        <w:t>Vo</w:t>
      </w:r>
      <w:proofErr w:type="gramEnd"/>
      <w:r w:rsidRPr="007B0A30">
        <w:t xml:space="preserve"> väčšine štátov takí žiaci opakujú skúšky. Tento postup je veľmi zriedkavý u žiakov </w:t>
      </w:r>
      <w:proofErr w:type="gramStart"/>
      <w:r w:rsidRPr="007B0A30">
        <w:t>na</w:t>
      </w:r>
      <w:proofErr w:type="gramEnd"/>
      <w:r w:rsidRPr="007B0A30">
        <w:t xml:space="preserve"> úrovni základného vzdelávania. V Estónsku, </w:t>
      </w:r>
      <w:proofErr w:type="gramStart"/>
      <w:r w:rsidRPr="007B0A30">
        <w:t>ak</w:t>
      </w:r>
      <w:proofErr w:type="gramEnd"/>
      <w:r w:rsidRPr="007B0A30">
        <w:t xml:space="preserve"> nie sú výsledky na konci roka dostatočné, môže byť žiak prinútený stráviť o dva týždne dlhšie v škole, aby si doplnil vedomosti v predmetoch, ktoré mu robia problémy. </w:t>
      </w:r>
    </w:p>
    <w:p w:rsidR="0049211D" w:rsidRPr="007B0A30" w:rsidRDefault="0049211D" w:rsidP="0049211D">
      <w:r w:rsidRPr="007B0A30">
        <w:t xml:space="preserve">V 19 vzdelávacích systémoch môžu žiaci opakovať ročník, </w:t>
      </w:r>
      <w:proofErr w:type="gramStart"/>
      <w:r w:rsidRPr="007B0A30">
        <w:t>ak</w:t>
      </w:r>
      <w:proofErr w:type="gramEnd"/>
      <w:r w:rsidRPr="007B0A30">
        <w:t xml:space="preserve"> nezískali primerané znalosti a schopnosti požadované na konci školského roku alebo stupňa výučby. Avšak v týchto štátoch, okrem Bulharska, Španielska a Rumunska, nepostačujúca známka v umeleckom predmete nemá v praxi žiadne následky </w:t>
      </w:r>
      <w:proofErr w:type="gramStart"/>
      <w:r w:rsidRPr="007B0A30">
        <w:t>na</w:t>
      </w:r>
      <w:proofErr w:type="gramEnd"/>
      <w:r w:rsidRPr="007B0A30">
        <w:t xml:space="preserve"> postup žiaka v škole. </w:t>
      </w:r>
      <w:proofErr w:type="gramStart"/>
      <w:r w:rsidRPr="007B0A30">
        <w:t>V Belgicku (Francúzke a Nemecké spoločenstvo), Nemecku, Francúzsku a Rakúsku však výsledky v umeleckých predmetoch prispievajú k celkovému hodnoteniu žiaka, a preto zohrávajú úlohu pri konečnom rozhodovaní, či žiak postúpi do vyššieho ročníka alebo nie.</w:t>
      </w:r>
      <w:proofErr w:type="gramEnd"/>
      <w:r w:rsidRPr="007B0A30">
        <w:t xml:space="preserve"> </w:t>
      </w:r>
      <w:proofErr w:type="gramStart"/>
      <w:r w:rsidRPr="007B0A30">
        <w:t>Napriek všetkému, význam týchto predmetom je zvyčajne neveľký.</w:t>
      </w:r>
      <w:proofErr w:type="gramEnd"/>
      <w:r w:rsidRPr="007B0A30">
        <w:t xml:space="preserve"> </w:t>
      </w:r>
    </w:p>
    <w:p w:rsidR="0049211D" w:rsidRPr="007B0A30" w:rsidRDefault="0049211D" w:rsidP="0049211D">
      <w:r w:rsidRPr="007B0A30">
        <w:t xml:space="preserve">Hoci slabé výsledky v umeleckých predmetoch majú malý vplyv </w:t>
      </w:r>
      <w:proofErr w:type="gramStart"/>
      <w:r w:rsidRPr="007B0A30">
        <w:t>na</w:t>
      </w:r>
      <w:proofErr w:type="gramEnd"/>
      <w:r w:rsidRPr="007B0A30">
        <w:t xml:space="preserve"> postup žiaka v škole, prijímajú sa opatrenia, ktoré umožnia neprospievajúcim žiakom urobiť adekvátny pokrok v niektorých predmetoch (vrátane umeleckých predmetov) na zdokonalenie svojich znalostí a schopností. Napríklad v Španielsku môže žiak postúpiť do vyššieho ročníka bez toho, aby absolvoval skúšky zo všetkých predmetov (maximálne 2 predmety, výnimočne 3 alebo viac, </w:t>
      </w:r>
      <w:proofErr w:type="gramStart"/>
      <w:r w:rsidRPr="007B0A30">
        <w:t>ak</w:t>
      </w:r>
      <w:proofErr w:type="gramEnd"/>
      <w:r w:rsidRPr="007B0A30">
        <w:t xml:space="preserve"> žiak práve neopakuje ročník). </w:t>
      </w:r>
      <w:proofErr w:type="gramStart"/>
      <w:r w:rsidRPr="007B0A30">
        <w:t>Ak</w:t>
      </w:r>
      <w:proofErr w:type="gramEnd"/>
      <w:r w:rsidRPr="007B0A30">
        <w:t xml:space="preserve"> žiak neuspel maximálne v troch predmetoch postúpi do ďalšieho ročníka, musí sa ale zaradiť do programu zahŕňajúceho hodnotiacu fázu predmetov, v ktorých má nedostatky.</w:t>
      </w:r>
    </w:p>
    <w:p w:rsidR="0049211D" w:rsidRPr="007B0A30" w:rsidRDefault="0049211D" w:rsidP="0049211D">
      <w:r w:rsidRPr="007B0A30">
        <w:t xml:space="preserve">V Spojenom kráľovstve (Anglicko a Wales) žiakov hodnotia podľa stanovených kritérií, ktoré </w:t>
      </w:r>
      <w:proofErr w:type="gramStart"/>
      <w:r w:rsidRPr="007B0A30">
        <w:t>sa</w:t>
      </w:r>
      <w:proofErr w:type="gramEnd"/>
      <w:r w:rsidRPr="007B0A30">
        <w:t xml:space="preserve"> netýkajú iba štandardov očakávaných pre danú vekovú skupinu (časť 4.1.1.2.). </w:t>
      </w:r>
      <w:proofErr w:type="gramStart"/>
      <w:r w:rsidRPr="007B0A30">
        <w:t>Od</w:t>
      </w:r>
      <w:proofErr w:type="gramEnd"/>
      <w:r w:rsidRPr="007B0A30">
        <w:t xml:space="preserve"> učiteľov sa očakáva, aby diferencovane pristupovali k výučbe, napríklad zadávaním rozdielnych úloh pre žiakov pracujúcich na odlišných úrovniach. </w:t>
      </w:r>
    </w:p>
    <w:p w:rsidR="0049211D" w:rsidRPr="007B0A30" w:rsidRDefault="0049211D" w:rsidP="0049211D"/>
    <w:p w:rsidR="0049211D" w:rsidRPr="007B0A30" w:rsidRDefault="0049211D" w:rsidP="0049211D">
      <w:r w:rsidRPr="007B0A30">
        <w:t xml:space="preserve">Stratégie pre žiakov nadaných alebo talentovaných v umení </w:t>
      </w:r>
    </w:p>
    <w:p w:rsidR="0049211D" w:rsidRPr="007B0A30" w:rsidRDefault="0049211D" w:rsidP="0049211D">
      <w:r w:rsidRPr="007B0A30">
        <w:t xml:space="preserve">Väčšina skúmaných štátov prijala špecifické opatrenia zamerané </w:t>
      </w:r>
      <w:proofErr w:type="gramStart"/>
      <w:r w:rsidRPr="007B0A30">
        <w:t>na</w:t>
      </w:r>
      <w:proofErr w:type="gramEnd"/>
      <w:r w:rsidRPr="007B0A30">
        <w:t xml:space="preserve"> vytvorenie vhodných podmienok pre výučbu nadaných a talentovaných žiakov (Eurydice, 2006). </w:t>
      </w:r>
      <w:proofErr w:type="gramStart"/>
      <w:r w:rsidRPr="007B0A30">
        <w:t>Preto prispôsobenie kurikula tvorí jedno z opatrení, explicitne odporúčaného v Belgicku (Nemecké spoločenstvo), Českej republike, Španielsku a v Spojenom kráľovstve (Anglicko).</w:t>
      </w:r>
      <w:proofErr w:type="gramEnd"/>
      <w:r w:rsidRPr="007B0A30">
        <w:t xml:space="preserve"> V Anglicku sú </w:t>
      </w:r>
      <w:proofErr w:type="gramStart"/>
      <w:r w:rsidRPr="007B0A30">
        <w:t>od</w:t>
      </w:r>
      <w:proofErr w:type="gramEnd"/>
      <w:r w:rsidRPr="007B0A30">
        <w:t xml:space="preserve"> roku 2007 všetky základné a stredné školy povinné identifikovať nadané a talentované deti. </w:t>
      </w:r>
      <w:proofErr w:type="gramStart"/>
      <w:r w:rsidRPr="007B0A30">
        <w:t>Okrem toho 9 centier excelentnosti (Excellence Hubs) v spolupráci s vyššími vzdelávacími inštitúciami zabezpečujú programy pre talentované a nadané deti (externé letné školy, praktické semináre, semináre pre pokročilých študentov a pod.) v rozmedzí predmetov zahŕňajúcich umenie.</w:t>
      </w:r>
      <w:proofErr w:type="gramEnd"/>
      <w:r w:rsidRPr="007B0A30">
        <w:t xml:space="preserve"> </w:t>
      </w:r>
      <w:proofErr w:type="gramStart"/>
      <w:r w:rsidRPr="007B0A30">
        <w:t>Tieto centrá spolupracujú so školami a miestnymi orgánmi pri plánovaní aktivít.</w:t>
      </w:r>
      <w:proofErr w:type="gramEnd"/>
      <w:r w:rsidRPr="007B0A30">
        <w:t xml:space="preserve"> V Rakúsku je 8 gymnázií, ktoré </w:t>
      </w:r>
      <w:proofErr w:type="gramStart"/>
      <w:r w:rsidRPr="007B0A30">
        <w:t>sa</w:t>
      </w:r>
      <w:proofErr w:type="gramEnd"/>
      <w:r w:rsidRPr="007B0A30">
        <w:t xml:space="preserve"> špecializujú na hudobné vzdelávanie talentovaných detí a spolupracujú s hudobnými akadémiami a konzervatóriami. Niektoré školy </w:t>
      </w:r>
      <w:proofErr w:type="gramStart"/>
      <w:r w:rsidRPr="007B0A30">
        <w:t>na</w:t>
      </w:r>
      <w:proofErr w:type="gramEnd"/>
      <w:r w:rsidRPr="007B0A30">
        <w:t xml:space="preserve"> nižšej stredoškolskej úrovni majú špeciálne prúdy pre umelecké vzdelávanie, a tak získavajú a rozvíjajú nadané a talentované deti.</w:t>
      </w:r>
    </w:p>
    <w:p w:rsidR="0049211D" w:rsidRPr="007B0A30" w:rsidRDefault="0049211D" w:rsidP="0049211D">
      <w:proofErr w:type="gramStart"/>
      <w:r w:rsidRPr="007B0A30">
        <w:t>V mnohých štátoch sú mimoškolské aktivity považované za jeden z prvoradých nástrojov ako ďalšou cestou rozvíjať talenty a zručnosti nadaných žiakov.</w:t>
      </w:r>
      <w:proofErr w:type="gramEnd"/>
      <w:r w:rsidRPr="007B0A30">
        <w:t xml:space="preserve"> </w:t>
      </w:r>
      <w:proofErr w:type="gramStart"/>
      <w:r w:rsidRPr="007B0A30">
        <w:t>Tieto aktivity môžu byť organizované školou alebo špecializovanými centrami, v ktorých existujú (konzervatóriá v prípade hudby).</w:t>
      </w:r>
      <w:proofErr w:type="gramEnd"/>
      <w:r w:rsidRPr="007B0A30">
        <w:t xml:space="preserve"> V niektorých štátoch sú vzťahy medzi školami </w:t>
      </w:r>
      <w:proofErr w:type="gramStart"/>
      <w:r w:rsidRPr="007B0A30">
        <w:t>a</w:t>
      </w:r>
      <w:proofErr w:type="gramEnd"/>
      <w:r w:rsidRPr="007B0A30">
        <w:t xml:space="preserve"> externými štruktúrami pomerne dobre rozvinuté. </w:t>
      </w:r>
      <w:proofErr w:type="gramStart"/>
      <w:r w:rsidRPr="007B0A30">
        <w:t>V Bulharsku založili miestne inštitúcie spoločné centrá pre deti.</w:t>
      </w:r>
      <w:proofErr w:type="gramEnd"/>
      <w:r w:rsidRPr="007B0A30">
        <w:t xml:space="preserve"> </w:t>
      </w:r>
      <w:proofErr w:type="gramStart"/>
      <w:r w:rsidRPr="007B0A30">
        <w:t>Tieto centrá bezplatne vyvíjajú aktivity pre nadané deti alebo pre deti, ktoré majú záujem.</w:t>
      </w:r>
      <w:proofErr w:type="gramEnd"/>
      <w:r w:rsidRPr="007B0A30">
        <w:t xml:space="preserve"> Na jednej strane sú objektom intenzívnej spolupráce medzi národnými a regionálnymi školskými inštitúciami, a </w:t>
      </w:r>
      <w:proofErr w:type="gramStart"/>
      <w:r w:rsidRPr="007B0A30">
        <w:t>na</w:t>
      </w:r>
      <w:proofErr w:type="gramEnd"/>
      <w:r w:rsidRPr="007B0A30">
        <w:t xml:space="preserve"> strane druhej miestnymi inštitúciami. Vo Fínsku môžu miestne inštitúcie tiež organizovať širokú škálu umeleckých aktivít </w:t>
      </w:r>
      <w:proofErr w:type="gramStart"/>
      <w:r w:rsidRPr="007B0A30">
        <w:t>na</w:t>
      </w:r>
      <w:proofErr w:type="gramEnd"/>
      <w:r w:rsidRPr="007B0A30">
        <w:t xml:space="preserve"> podporu vzdelávacej práce škôl. Napokon, v Slovinsku </w:t>
      </w:r>
      <w:proofErr w:type="gramStart"/>
      <w:r w:rsidRPr="007B0A30">
        <w:t>od</w:t>
      </w:r>
      <w:proofErr w:type="gramEnd"/>
      <w:r w:rsidRPr="007B0A30">
        <w:t xml:space="preserve"> roku 2008, ak žiak navštevuje voliteľný predmet, v školskom zázname môžu byť zahrnuté hudobné lekcie absolvované v akadémii alebo konzervatóriu.</w:t>
      </w:r>
    </w:p>
    <w:p w:rsidR="0049211D" w:rsidRPr="007B0A30" w:rsidRDefault="0049211D" w:rsidP="0049211D">
      <w:r w:rsidRPr="007B0A30">
        <w:t xml:space="preserve">Účasť talentovaných žiakov v regionálnych, národných a medzinárodných súťažiach </w:t>
      </w:r>
      <w:proofErr w:type="gramStart"/>
      <w:r w:rsidRPr="007B0A30">
        <w:t>sa</w:t>
      </w:r>
      <w:proofErr w:type="gramEnd"/>
      <w:r w:rsidRPr="007B0A30">
        <w:t xml:space="preserve"> podporuje tiež v Estónsku, Grécku, Lotyšsku, Litve, Rumunsku a Spojenom kráľovstve (Škótsko). </w:t>
      </w:r>
      <w:proofErr w:type="gramStart"/>
      <w:r w:rsidRPr="007B0A30">
        <w:t>Tieto aktivity majú za cieľ povzbudiť žiakov a pomôcť im rozvíjať svoje zručnosti.</w:t>
      </w:r>
      <w:proofErr w:type="gramEnd"/>
      <w:r w:rsidRPr="007B0A30">
        <w:t xml:space="preserve"> </w:t>
      </w:r>
    </w:p>
    <w:p w:rsidR="0049211D" w:rsidRPr="007B0A30" w:rsidRDefault="0049211D" w:rsidP="0049211D">
      <w:proofErr w:type="gramStart"/>
      <w:r w:rsidRPr="007B0A30">
        <w:t>Okrem toho v mnohých štátoch existujú rôzne formy oceňovania.</w:t>
      </w:r>
      <w:proofErr w:type="gramEnd"/>
      <w:r w:rsidRPr="007B0A30">
        <w:t xml:space="preserve"> </w:t>
      </w:r>
      <w:proofErr w:type="gramStart"/>
      <w:r w:rsidRPr="007B0A30">
        <w:t>Napríklad v Luxembursku Asociácia učiteľov umeleckého vzdelávania odovzdáva odmeny žiakom, ktorých práca je hodnotená ako vynikajúca.</w:t>
      </w:r>
      <w:proofErr w:type="gramEnd"/>
      <w:r w:rsidRPr="007B0A30">
        <w:t xml:space="preserve"> Na Cypre, </w:t>
      </w:r>
      <w:proofErr w:type="gramStart"/>
      <w:r w:rsidRPr="007B0A30">
        <w:t>ak</w:t>
      </w:r>
      <w:proofErr w:type="gramEnd"/>
      <w:r w:rsidRPr="007B0A30">
        <w:t xml:space="preserve"> je umelecká práca žiaka výnimočnej kvality, učitelia sa môžu rozhodnúť zaslať prácu ministerstvu, aby sa objavila na výstave.</w:t>
      </w:r>
    </w:p>
    <w:p w:rsidR="0049211D" w:rsidRPr="007B0A30" w:rsidRDefault="0049211D" w:rsidP="0049211D">
      <w:r w:rsidRPr="007B0A30">
        <w:t xml:space="preserve">Na záver, </w:t>
      </w:r>
      <w:proofErr w:type="gramStart"/>
      <w:r w:rsidRPr="007B0A30">
        <w:t>na</w:t>
      </w:r>
      <w:proofErr w:type="gramEnd"/>
      <w:r w:rsidRPr="007B0A30">
        <w:t xml:space="preserve"> úrovni vyššieho stredného vzdelávania môžu učitelia odporučiť žiakom s výnimočným nadaním pre umelecké predmety, aby sa zapísali do umeleckých škôl.  </w:t>
      </w:r>
    </w:p>
    <w:p w:rsidR="0049211D" w:rsidRPr="007B0A30" w:rsidRDefault="0049211D" w:rsidP="0049211D">
      <w:r w:rsidRPr="007B0A30">
        <w:t>&amp;3 Externé hodnotenie žiakov</w:t>
      </w:r>
    </w:p>
    <w:p w:rsidR="0049211D" w:rsidRPr="007B0A30" w:rsidRDefault="0049211D" w:rsidP="0049211D">
      <w:proofErr w:type="gramStart"/>
      <w:r w:rsidRPr="007B0A30">
        <w:t>Vo</w:t>
      </w:r>
      <w:proofErr w:type="gramEnd"/>
      <w:r w:rsidRPr="007B0A30">
        <w:t xml:space="preserve"> väčšine vzdelávacích systémov musia všetci žiaci zložiť štandardizované národné testy aspoň raz počas svojho štúdia na základnej a nižšej stredoškolskej úrovni (Eurydice, 2009c). </w:t>
      </w:r>
      <w:proofErr w:type="gramStart"/>
      <w:r w:rsidRPr="007B0A30">
        <w:t>Avšak umelecké predmety nie sú súčasťou týchto hodnotení (s výnimkou Írska, Malty a Spojeného kráľovstva – Škótska).</w:t>
      </w:r>
      <w:proofErr w:type="gramEnd"/>
      <w:r w:rsidRPr="007B0A30">
        <w:t xml:space="preserve">  </w:t>
      </w:r>
    </w:p>
    <w:p w:rsidR="0049211D" w:rsidRPr="007B0A30" w:rsidRDefault="0049211D" w:rsidP="0049211D">
      <w:r w:rsidRPr="007B0A30">
        <w:t xml:space="preserve">V Írsku a Spojenom kráľovstve (Škótsku) je hodnotenie, ktoré </w:t>
      </w:r>
      <w:proofErr w:type="gramStart"/>
      <w:r w:rsidRPr="007B0A30">
        <w:t>sa</w:t>
      </w:r>
      <w:proofErr w:type="gramEnd"/>
      <w:r w:rsidRPr="007B0A30">
        <w:t xml:space="preserve"> robí iba na konci úrovne ISCED 2, certifikované. Žiaci, ktorí prospejú, dostanú </w:t>
      </w:r>
      <w:proofErr w:type="gramStart"/>
      <w:r w:rsidRPr="007B0A30">
        <w:t>na</w:t>
      </w:r>
      <w:proofErr w:type="gramEnd"/>
      <w:r w:rsidRPr="007B0A30">
        <w:t xml:space="preserve"> konci nižšej stredoškolskej úrovne certifikát. V Írsku skúšku absolvujú žiaci, ktorí si vyberajú voliteľné umelecké predmety a skladá </w:t>
      </w:r>
      <w:proofErr w:type="gramStart"/>
      <w:r w:rsidRPr="007B0A30">
        <w:t>sa</w:t>
      </w:r>
      <w:proofErr w:type="gramEnd"/>
      <w:r w:rsidRPr="007B0A30">
        <w:t xml:space="preserve"> z písomnej skúšky a tiež vytvorenia vlastného projektu, na tému určenú štátnou skúšobnou komisiou. V hudobnej výchove </w:t>
      </w:r>
      <w:proofErr w:type="gramStart"/>
      <w:r w:rsidRPr="007B0A30">
        <w:t>sa</w:t>
      </w:r>
      <w:proofErr w:type="gramEnd"/>
      <w:r w:rsidRPr="007B0A30">
        <w:t xml:space="preserve"> okrem toho absolvuje praktický test. V Spojenom kráľovstve (Škótsku) </w:t>
      </w:r>
      <w:proofErr w:type="gramStart"/>
      <w:r w:rsidRPr="007B0A30">
        <w:t>sa</w:t>
      </w:r>
      <w:proofErr w:type="gramEnd"/>
      <w:r w:rsidRPr="007B0A30">
        <w:t xml:space="preserve"> skúšobné metódy značne líšia v závislosti od umeleckej formy (hudba, výtvarné umenie, divadlo a tanec). </w:t>
      </w:r>
    </w:p>
    <w:p w:rsidR="0049211D" w:rsidRPr="007B0A30" w:rsidRDefault="0049211D" w:rsidP="0049211D">
      <w:r w:rsidRPr="007B0A30">
        <w:t xml:space="preserve">Na Malte žiaci “Junior Lyceum and Area Secondary schools” robia </w:t>
      </w:r>
      <w:proofErr w:type="gramStart"/>
      <w:r w:rsidRPr="007B0A30">
        <w:t>na</w:t>
      </w:r>
      <w:proofErr w:type="gramEnd"/>
      <w:r w:rsidRPr="007B0A30">
        <w:t xml:space="preserve"> konci každého školského roka štandardizované národné testy vo výtvarnom umení. </w:t>
      </w:r>
      <w:proofErr w:type="gramStart"/>
      <w:r w:rsidRPr="007B0A30">
        <w:t>Testovanými predmetmi sú maľovanie a kreslenie.</w:t>
      </w:r>
      <w:proofErr w:type="gramEnd"/>
      <w:r w:rsidRPr="007B0A30">
        <w:t xml:space="preserve"> </w:t>
      </w:r>
      <w:proofErr w:type="gramStart"/>
      <w:r w:rsidRPr="007B0A30">
        <w:t>Od</w:t>
      </w:r>
      <w:proofErr w:type="gramEnd"/>
      <w:r w:rsidRPr="007B0A30">
        <w:t xml:space="preserve"> žiakov sa očakávajú dve úlohy: vytvoriť jednu časť podľa zadanej témy a druhú z pozorovania. </w:t>
      </w:r>
    </w:p>
    <w:p w:rsidR="0049211D" w:rsidRPr="007B0A30" w:rsidRDefault="0049211D" w:rsidP="0049211D">
      <w:r w:rsidRPr="007B0A30">
        <w:t xml:space="preserve">V Slovinsku sú externe hodnotené </w:t>
      </w:r>
      <w:proofErr w:type="gramStart"/>
      <w:r w:rsidRPr="007B0A30">
        <w:t>na</w:t>
      </w:r>
      <w:proofErr w:type="gramEnd"/>
      <w:r w:rsidRPr="007B0A30">
        <w:t xml:space="preserve"> konci úrovne ISCED 2 slovinčina, matematika a tretí predmet. </w:t>
      </w:r>
      <w:proofErr w:type="gramStart"/>
      <w:r w:rsidRPr="007B0A30">
        <w:t>Od</w:t>
      </w:r>
      <w:proofErr w:type="gramEnd"/>
      <w:r w:rsidRPr="007B0A30">
        <w:t xml:space="preserve"> roku 2005 každý rok ministerstvo školstva vyhlási štyri doplnkové externe hodnotené predmety. </w:t>
      </w:r>
      <w:proofErr w:type="gramStart"/>
      <w:r w:rsidRPr="007B0A30">
        <w:t>Minister by mohol určiť výtvarné umenie alebo hudbu, ale dosiaľ tieto predmety vybrané neboli.</w:t>
      </w:r>
      <w:proofErr w:type="gramEnd"/>
      <w:r w:rsidRPr="007B0A30">
        <w:t xml:space="preserve"> </w:t>
      </w:r>
      <w:proofErr w:type="gramStart"/>
      <w:r w:rsidRPr="007B0A30">
        <w:t>Napriek tomu telesná výchova (ktorá zahŕňa tanec) bola jedným z predmetov testovaných v roku 2008/09.</w:t>
      </w:r>
      <w:proofErr w:type="gramEnd"/>
      <w:r w:rsidRPr="007B0A30">
        <w:t xml:space="preserve"> </w:t>
      </w:r>
    </w:p>
    <w:p w:rsidR="0049211D" w:rsidRPr="007B0A30" w:rsidRDefault="0049211D" w:rsidP="0049211D">
      <w:r w:rsidRPr="007B0A30">
        <w:t xml:space="preserve">V Írsku, Slovinsku a </w:t>
      </w:r>
      <w:proofErr w:type="gramStart"/>
      <w:r w:rsidRPr="007B0A30">
        <w:t>na</w:t>
      </w:r>
      <w:proofErr w:type="gramEnd"/>
      <w:r w:rsidRPr="007B0A30">
        <w:t xml:space="preserve"> Malte výsledky hodnotenia v umeleckých predmetoch používajú riaditelia vzdelávacích systémov, s výhľadom na monitorovanie kvality vyučovania a jeho skvalitnenie (pozri 4.2).</w:t>
      </w:r>
    </w:p>
    <w:p w:rsidR="0049211D" w:rsidRPr="007B0A30" w:rsidRDefault="0049211D" w:rsidP="0049211D">
      <w:r w:rsidRPr="007B0A30">
        <w:t xml:space="preserve">&amp;2 Monitorovanie kvality vyučovania </w:t>
      </w:r>
    </w:p>
    <w:p w:rsidR="0049211D" w:rsidRPr="007B0A30" w:rsidRDefault="0049211D" w:rsidP="0049211D">
      <w:proofErr w:type="gramStart"/>
      <w:r w:rsidRPr="007B0A30">
        <w:t>Len málo štátov uvádza, že má relatívne aktuálne údaje o kvalite výučby v umeleckých predmetoch (evidované v roku 2000).</w:t>
      </w:r>
      <w:proofErr w:type="gramEnd"/>
      <w:r w:rsidRPr="007B0A30">
        <w:t xml:space="preserve"> Avšak, </w:t>
      </w:r>
      <w:proofErr w:type="gramStart"/>
      <w:r w:rsidRPr="007B0A30">
        <w:t>ak</w:t>
      </w:r>
      <w:proofErr w:type="gramEnd"/>
      <w:r w:rsidRPr="007B0A30">
        <w:t xml:space="preserve"> tieto informácie existujú, najčastejšie sa v správach ako jeden zo záverov uvádza nedostatočný čas venovaný tomuto učeniu. </w:t>
      </w:r>
      <w:proofErr w:type="gramStart"/>
      <w:r w:rsidRPr="007B0A30">
        <w:t>Ďalšími problémami sú nedostatok zariadení pre umelecké vyučovanie (chýbajú vhodné triedy), nedostatok školení pre učiteľov, rovnako ako sú spomínané aj ťažkosti s posudzovaním napredovania žiaka.</w:t>
      </w:r>
      <w:proofErr w:type="gramEnd"/>
      <w:r w:rsidRPr="007B0A30">
        <w:t xml:space="preserve"> V súvislosti s napredovaním poukazuje Anne Bamford (2009) </w:t>
      </w:r>
      <w:proofErr w:type="gramStart"/>
      <w:r w:rsidRPr="007B0A30">
        <w:t>na</w:t>
      </w:r>
      <w:proofErr w:type="gramEnd"/>
      <w:r w:rsidRPr="007B0A30">
        <w:t xml:space="preserve"> to, že hodnotenie umeleckého vzdelávania je často problematické. Je často kritizované, ako “reštriktívne a nepovažuje </w:t>
      </w:r>
      <w:proofErr w:type="gramStart"/>
      <w:r w:rsidRPr="007B0A30">
        <w:t>sa</w:t>
      </w:r>
      <w:proofErr w:type="gramEnd"/>
      <w:r w:rsidRPr="007B0A30">
        <w:t xml:space="preserve"> za holistické a sústavné učenie, čo je bežné v umeleckých programoch' (Bamford, 2009, 20). </w:t>
      </w:r>
    </w:p>
    <w:p w:rsidR="0049211D" w:rsidRPr="007B0A30" w:rsidRDefault="0049211D" w:rsidP="0049211D">
      <w:r w:rsidRPr="007B0A30">
        <w:t xml:space="preserve">Okrem získavania informácií prostredníctvom štandardizovaných testov </w:t>
      </w:r>
      <w:proofErr w:type="gramStart"/>
      <w:r w:rsidRPr="007B0A30">
        <w:t>na</w:t>
      </w:r>
      <w:proofErr w:type="gramEnd"/>
      <w:r w:rsidRPr="007B0A30">
        <w:t xml:space="preserve"> vzorke žiakov alebo všetkých žiakov, existujú dva ďalšie dôležité nástroje poskytujúce potrebné informácie hodnotenia kvality výučby vo vzdelávacom systéme. Na jednej strane existujú systematické a pravidelné inšpekcie vykonávané školskými inšpektormi a </w:t>
      </w:r>
      <w:proofErr w:type="gramStart"/>
      <w:r w:rsidRPr="007B0A30">
        <w:t>na</w:t>
      </w:r>
      <w:proofErr w:type="gramEnd"/>
      <w:r w:rsidRPr="007B0A30">
        <w:t xml:space="preserve"> strane druhej sú to prieskumy, ktorými ministerstvo poveruje výskumné centrá. </w:t>
      </w:r>
    </w:p>
    <w:p w:rsidR="0049211D" w:rsidRPr="007B0A30" w:rsidRDefault="0049211D" w:rsidP="0049211D">
      <w:r w:rsidRPr="007B0A30">
        <w:t xml:space="preserve">Pokiaľ ide o štandardizované testy, k trom už spomínaným štátom (Írsko, Malta a Slovinsko) by </w:t>
      </w:r>
      <w:proofErr w:type="gramStart"/>
      <w:r w:rsidRPr="007B0A30">
        <w:t>sa</w:t>
      </w:r>
      <w:proofErr w:type="gramEnd"/>
      <w:r w:rsidRPr="007B0A30">
        <w:t xml:space="preserve"> malo pridať Estónsko. V roku 2007 </w:t>
      </w:r>
      <w:proofErr w:type="gramStart"/>
      <w:r w:rsidRPr="007B0A30">
        <w:t>sa</w:t>
      </w:r>
      <w:proofErr w:type="gramEnd"/>
      <w:r w:rsidRPr="007B0A30">
        <w:t xml:space="preserve"> v Estónsku organizoval test zameraný na meranie žiackych hudobných zručností, ale na rozdiel od troch spomenutých štátov, bol tento test na vzorke žiakov (vo veku od 12 – 13 rokov). Hlavné úlohy tohto testu boli: ohodnotiť, čo </w:t>
      </w:r>
      <w:proofErr w:type="gramStart"/>
      <w:r w:rsidRPr="007B0A30">
        <w:t>sa</w:t>
      </w:r>
      <w:proofErr w:type="gramEnd"/>
      <w:r w:rsidRPr="007B0A30">
        <w:t xml:space="preserve"> žiaci naučili do konca prvého stupňa; poskytnúť školám možnosť porovnať výsledky vlastných žiakov; zdôrazniť rovnocenný význam hudobného vzdelávania v porovnaní s inými predmetmi kurikula; pritiahnuť pozornosť k materiálom potrebným pre tento typ výučby; získavať údaje potrebné k rozvíjaniu študijného programu. </w:t>
      </w:r>
      <w:proofErr w:type="gramStart"/>
      <w:r w:rsidRPr="007B0A30">
        <w:t>Vo</w:t>
      </w:r>
      <w:proofErr w:type="gramEnd"/>
      <w:r w:rsidRPr="007B0A30">
        <w:t xml:space="preserve"> všeobecnosti výsledky dosiahnuté žiakmi sú považované za dobré, globálne lepšie u dievčat (vykonávajúcich umeleckú činnosť) ako u chlapcov. </w:t>
      </w:r>
      <w:proofErr w:type="gramStart"/>
      <w:r w:rsidRPr="007B0A30">
        <w:t>Podľa očakávania, žiaci, ktorí navštevujú hudobnú školu dosiahli štatisticky podstatne lepšie výsledky.</w:t>
      </w:r>
      <w:proofErr w:type="gramEnd"/>
      <w:r w:rsidRPr="007B0A30">
        <w:t xml:space="preserve"> Výkon žiaka </w:t>
      </w:r>
      <w:proofErr w:type="gramStart"/>
      <w:r w:rsidRPr="007B0A30">
        <w:t>sa</w:t>
      </w:r>
      <w:proofErr w:type="gramEnd"/>
      <w:r w:rsidRPr="007B0A30">
        <w:t xml:space="preserve"> nezdá byť závislý od kvalifikácie učiteľa. Tento prieskum tiež odhalil problémy súvisiace s procesom výučby </w:t>
      </w:r>
      <w:proofErr w:type="gramStart"/>
      <w:r w:rsidRPr="007B0A30">
        <w:t>a</w:t>
      </w:r>
      <w:proofErr w:type="gramEnd"/>
      <w:r w:rsidRPr="007B0A30">
        <w:t xml:space="preserve"> učenia a navrhovanými spôsobmi jeho skvalitnenia.</w:t>
      </w:r>
    </w:p>
    <w:p w:rsidR="0049211D" w:rsidRPr="007B0A30" w:rsidRDefault="0049211D" w:rsidP="0049211D">
      <w:proofErr w:type="gramStart"/>
      <w:r w:rsidRPr="007B0A30">
        <w:t>V Španielsku plánujú v budúcnosti organizovať hodnotenie umeleckých a kultúrnych zručností.</w:t>
      </w:r>
      <w:proofErr w:type="gramEnd"/>
      <w:r w:rsidRPr="007B0A30">
        <w:t xml:space="preserve"> </w:t>
      </w:r>
      <w:proofErr w:type="gramStart"/>
      <w:r w:rsidRPr="007B0A30">
        <w:t>Toto hodnotenie bude tvoriť súčasť diagnostického hodnotenia.</w:t>
      </w:r>
      <w:proofErr w:type="gramEnd"/>
      <w:r w:rsidRPr="007B0A30">
        <w:t xml:space="preserve"> </w:t>
      </w:r>
      <w:proofErr w:type="gramStart"/>
      <w:r w:rsidRPr="007B0A30">
        <w:t>Prvé série začali v školskom roku 2008/09.</w:t>
      </w:r>
      <w:proofErr w:type="gramEnd"/>
      <w:r w:rsidRPr="007B0A30">
        <w:t xml:space="preserve"> Testuje </w:t>
      </w:r>
      <w:proofErr w:type="gramStart"/>
      <w:r w:rsidRPr="007B0A30">
        <w:t>sa</w:t>
      </w:r>
      <w:proofErr w:type="gramEnd"/>
      <w:r w:rsidRPr="007B0A30">
        <w:t xml:space="preserve"> na reprezentatívnej vzorke žiakov vo 4. </w:t>
      </w:r>
      <w:proofErr w:type="gramStart"/>
      <w:r w:rsidRPr="007B0A30">
        <w:t>ročníku</w:t>
      </w:r>
      <w:proofErr w:type="gramEnd"/>
      <w:r w:rsidRPr="007B0A30">
        <w:t xml:space="preserve"> základnej školy a v 2. </w:t>
      </w:r>
      <w:proofErr w:type="gramStart"/>
      <w:r w:rsidRPr="007B0A30">
        <w:t>ročníku</w:t>
      </w:r>
      <w:proofErr w:type="gramEnd"/>
      <w:r w:rsidRPr="007B0A30">
        <w:t xml:space="preserve"> strednej školy. </w:t>
      </w:r>
      <w:proofErr w:type="gramStart"/>
      <w:r w:rsidRPr="007B0A30">
        <w:t>Hlavnými cieľmi týchto testov je preskúmať úroveň hodnotenia žiaka v základných zručnostiach vyžadovaných v kurikule a tiež hodnotiť fungovanie školského systému.</w:t>
      </w:r>
      <w:proofErr w:type="gramEnd"/>
      <w:r w:rsidRPr="007B0A30">
        <w:t xml:space="preserve"> </w:t>
      </w:r>
    </w:p>
    <w:p w:rsidR="0049211D" w:rsidRPr="007B0A30" w:rsidRDefault="0049211D" w:rsidP="0049211D">
      <w:r w:rsidRPr="007B0A30">
        <w:t xml:space="preserve">Grécko, Írsko a Spojené kráľovstvo (ANG/WLS/SIR) sú jediné štáty, ktoré robia správy o kvalite výučby v umeleckých predmetoch vyplývajúcich z práce inšpektorov alebo školských komisií. V Grécku je vypracovaná správa o výučbe výtvarných umení </w:t>
      </w:r>
      <w:proofErr w:type="gramStart"/>
      <w:r w:rsidRPr="007B0A30">
        <w:t>na</w:t>
      </w:r>
      <w:proofErr w:type="gramEnd"/>
      <w:r w:rsidRPr="007B0A30">
        <w:t xml:space="preserve"> úrovni ISCED 2 počas školského roku 2007/08. </w:t>
      </w:r>
      <w:proofErr w:type="gramStart"/>
      <w:r w:rsidRPr="007B0A30">
        <w:t>Správa prichádza k záveru, že učitelia všeobecne dodržiavajú kurikulum a metodiky pre žiakov napĺňajú ich potreby a záujmy.</w:t>
      </w:r>
      <w:proofErr w:type="gramEnd"/>
      <w:r w:rsidRPr="007B0A30">
        <w:t xml:space="preserve"> S ohľadom </w:t>
      </w:r>
      <w:proofErr w:type="gramStart"/>
      <w:r w:rsidRPr="007B0A30">
        <w:t>na</w:t>
      </w:r>
      <w:proofErr w:type="gramEnd"/>
      <w:r w:rsidRPr="007B0A30">
        <w:t xml:space="preserve"> kvalitu výučby sa v správe zdôrazňuje potreba pre učiteľov absolvovať ďalšie vzdelávanie a upozorniť na výhody vytvárania tried, ktoré sú špecificky vytvorené na umeleckú výchovu. Nakoniec </w:t>
      </w:r>
      <w:proofErr w:type="gramStart"/>
      <w:r w:rsidRPr="007B0A30">
        <w:t>sa</w:t>
      </w:r>
      <w:proofErr w:type="gramEnd"/>
      <w:r w:rsidRPr="007B0A30">
        <w:t xml:space="preserve"> v správe odporúča zvýšiť objem času venovaného výučbe umeleckých predmetov. </w:t>
      </w:r>
    </w:p>
    <w:p w:rsidR="0049211D" w:rsidRPr="007B0A30" w:rsidRDefault="0049211D" w:rsidP="0049211D">
      <w:proofErr w:type="gramStart"/>
      <w:r w:rsidRPr="007B0A30">
        <w:t xml:space="preserve">V Írsku správa z roku 2002 [Department of Education and Science (2002) Fifty School Reports; what inspectors say </w:t>
      </w:r>
      <w:hyperlink r:id="rId20" w:history="1">
        <w:r w:rsidRPr="007B0A30">
          <w:rPr>
            <w:rStyle w:val="Hypertextovprepojenie"/>
          </w:rPr>
          <w:t>http://www.education.ie/servlet/blobservlet/inspector_50school_report.pdf?language=EN</w:t>
        </w:r>
      </w:hyperlink>
      <w:r w:rsidRPr="007B0A30">
        <w:t xml:space="preserve"> ] zostavuje a sumarizuje výsledky vzorky z 50 inšpekčných správ.</w:t>
      </w:r>
      <w:proofErr w:type="gramEnd"/>
      <w:r w:rsidRPr="007B0A30">
        <w:t xml:space="preserve"> Tieto zahŕňajú všetky predmety kurikula </w:t>
      </w:r>
      <w:proofErr w:type="gramStart"/>
      <w:r w:rsidRPr="007B0A30">
        <w:t>na</w:t>
      </w:r>
      <w:proofErr w:type="gramEnd"/>
      <w:r w:rsidRPr="007B0A30">
        <w:t xml:space="preserve"> úrovni základného vzdelávania, vrátane hudobnej výchovy a divadla. Správa o hudobnej výchove zahŕňa 46 škôl </w:t>
      </w:r>
      <w:proofErr w:type="gramStart"/>
      <w:r w:rsidRPr="007B0A30">
        <w:t>na</w:t>
      </w:r>
      <w:proofErr w:type="gramEnd"/>
      <w:r w:rsidRPr="007B0A30">
        <w:t xml:space="preserve"> postprimárnom stupni a je dostupná na stránke ministerstva školstva a vedy. Pozitívnym aspektom o hudobnej výchove je rozsiahle a vyvážené kurikulum, správne prepojenie medzi hudbou </w:t>
      </w:r>
      <w:proofErr w:type="gramStart"/>
      <w:r w:rsidRPr="007B0A30">
        <w:t>a</w:t>
      </w:r>
      <w:proofErr w:type="gramEnd"/>
      <w:r w:rsidRPr="007B0A30">
        <w:t xml:space="preserve"> inými sférami kurikula, ako aj výučbu príslušného množstva piesní. </w:t>
      </w:r>
      <w:proofErr w:type="gramStart"/>
      <w:r w:rsidRPr="007B0A30">
        <w:t>Na druhej strane inšpektori negatívne hodnotili nepostačujúce plánovanie výučby hudobnej výchovy, ako aj nedostatok pozornosti venovanej hodnoteniu napredovania u žiaka.</w:t>
      </w:r>
      <w:proofErr w:type="gramEnd"/>
      <w:r w:rsidRPr="007B0A30">
        <w:t xml:space="preserve"> </w:t>
      </w:r>
      <w:proofErr w:type="gramStart"/>
      <w:r w:rsidRPr="007B0A30">
        <w:t>Predovšetkým existuje málo znakov procedúry formálneho hodnotenia.</w:t>
      </w:r>
      <w:proofErr w:type="gramEnd"/>
      <w:r w:rsidRPr="007B0A30">
        <w:t xml:space="preserve"> </w:t>
      </w:r>
      <w:proofErr w:type="gramStart"/>
      <w:r w:rsidRPr="007B0A30">
        <w:t>Na záver, niektoré školy uviedli problémy so zavádzaním kurikula hudobnej výchovy.</w:t>
      </w:r>
      <w:proofErr w:type="gramEnd"/>
      <w:r w:rsidRPr="007B0A30">
        <w:t xml:space="preserve"> Čo </w:t>
      </w:r>
      <w:proofErr w:type="gramStart"/>
      <w:r w:rsidRPr="007B0A30">
        <w:t>sa</w:t>
      </w:r>
      <w:proofErr w:type="gramEnd"/>
      <w:r w:rsidRPr="007B0A30">
        <w:t xml:space="preserve"> týka drámy, správa zdôrazňuje správne použitie drámy ako prostriedku v rámci integrovaného kurikula, avšak kritizuje nedostatok pozornosti, ktorá sa jej vo všeobecnosti venuje. V odboroch umeleckého vzdelávania </w:t>
      </w:r>
      <w:proofErr w:type="gramStart"/>
      <w:r w:rsidRPr="007B0A30">
        <w:t>na</w:t>
      </w:r>
      <w:proofErr w:type="gramEnd"/>
      <w:r w:rsidRPr="007B0A30">
        <w:t xml:space="preserve"> stredoškolskej úrovni nie sú aktuálne národné hodnotenia, ale pozorovania zvyčajne vykonané inšpektormi poukazujú na rozdiely medzi školami vzhľadom na dostupné zdroje a tiež na dôležitý vplyv externých skúšok stanovených SEC (Štátnou skúšobnou komisiou) na plánovanie hodín. </w:t>
      </w:r>
    </w:p>
    <w:p w:rsidR="0049211D" w:rsidRPr="007B0A30" w:rsidRDefault="0049211D" w:rsidP="0049211D">
      <w:proofErr w:type="gramStart"/>
      <w:r w:rsidRPr="007B0A30">
        <w:t>Národní inšpektori v Spojenom kráľovstve (ANG/WLS/SIR) pravidelne vypracúvajú správy hodnotiace opatrenia v rôznych predmetových oblastiach, vrátane umeleckých predmetov.</w:t>
      </w:r>
      <w:proofErr w:type="gramEnd"/>
      <w:r w:rsidRPr="007B0A30">
        <w:t xml:space="preserve"> Správy obyčajne vychádzajú z faktov z inšpekcií alebo prieskumov, zameraných </w:t>
      </w:r>
      <w:proofErr w:type="gramStart"/>
      <w:r w:rsidRPr="007B0A30">
        <w:t>na</w:t>
      </w:r>
      <w:proofErr w:type="gramEnd"/>
      <w:r w:rsidRPr="007B0A30">
        <w:t xml:space="preserve"> konkrétny predmet, alebo zo všeobecných školských inšpekcií. </w:t>
      </w:r>
      <w:proofErr w:type="gramStart"/>
      <w:r w:rsidRPr="007B0A30">
        <w:t>Napríklad, v Anglicku inšpektorát publikoval správu hodnotiacu vyučovanie angličtiny (vrátane drámy) v základných a stredných školách v priebehu rokov 2000 - 2005.</w:t>
      </w:r>
      <w:proofErr w:type="gramEnd"/>
      <w:r w:rsidRPr="007B0A30">
        <w:t xml:space="preserve"> Správa uvádza, že dráma </w:t>
      </w:r>
      <w:proofErr w:type="gramStart"/>
      <w:r w:rsidRPr="007B0A30">
        <w:t>sa</w:t>
      </w:r>
      <w:proofErr w:type="gramEnd"/>
      <w:r w:rsidRPr="007B0A30">
        <w:t xml:space="preserve"> vyučovala v základných školách zriedkavo. V stredných školách, kde sa dráma vyučuje ako samostatný predmet, sa uvádza, že je jedným z najlepšie vyučovaných predmetov, hoci hodnotenie žiaka bolo uvedené ako oblasť na zlepšenie [Pozri </w:t>
      </w:r>
      <w:hyperlink r:id="rId21" w:history="1">
        <w:r w:rsidRPr="007B0A30">
          <w:rPr>
            <w:rStyle w:val="Hypertextovprepojenie"/>
          </w:rPr>
          <w:t>http://www.ofsted.gov.uk/Ofsted-home/Publications-and-research/Browse-all-by/Education/Curriculum/English/Primary/English-2000-05-a-review-of-inspection-evidence</w:t>
        </w:r>
      </w:hyperlink>
      <w:r w:rsidRPr="007B0A30">
        <w:t xml:space="preserve"> ]. </w:t>
      </w:r>
    </w:p>
    <w:p w:rsidR="0049211D" w:rsidRPr="007B0A30" w:rsidRDefault="0049211D" w:rsidP="0049211D">
      <w:r w:rsidRPr="007B0A30">
        <w:t xml:space="preserve">V roku 2005 </w:t>
      </w:r>
      <w:proofErr w:type="gramStart"/>
      <w:r w:rsidRPr="007B0A30">
        <w:t>vo</w:t>
      </w:r>
      <w:proofErr w:type="gramEnd"/>
      <w:r w:rsidRPr="007B0A30">
        <w:t xml:space="preserve"> Walese inšpektorát zverejnil výsledky prieskumu poskytovania umeleckej výchovy na úrovni základného a stredoškolského vzdelávania, aby rozšíril dobrú prax a dal školám podnet k skúmaniu ich výučby. V správe </w:t>
      </w:r>
      <w:proofErr w:type="gramStart"/>
      <w:r w:rsidRPr="007B0A30">
        <w:t>sa</w:t>
      </w:r>
      <w:proofErr w:type="gramEnd"/>
      <w:r w:rsidRPr="007B0A30">
        <w:t xml:space="preserve"> uvádza, že ak mala umelecká výchova náležitý priestor v kurikulu, tak sa kvalita učenia, život a atmosféra školy výrazne zlepšili. Štandardy v umeleckých predmetoch sa všeobecne zvyšujú, hoci tu bol zvýšený podiel neuspokojivej práce v umeleckej a hudobnej výchove, keď žiaci prešli na strednú školu) [Pozri </w:t>
      </w:r>
      <w:hyperlink r:id="rId22" w:history="1">
        <w:r w:rsidRPr="007B0A30">
          <w:rPr>
            <w:rStyle w:val="Hypertextovprepojenie"/>
          </w:rPr>
          <w:t>http://www.ofsted.gov.uk/Ofsted-home/Publications-and-research/Browse-all-by/Education/Curriculum/English/Primary/English-2000-05-a-review-of-inspection-evidence</w:t>
        </w:r>
      </w:hyperlink>
      <w:r w:rsidRPr="007B0A30">
        <w:t xml:space="preserve"> ].</w:t>
      </w:r>
    </w:p>
    <w:p w:rsidR="0049211D" w:rsidRPr="007B0A30" w:rsidRDefault="0049211D" w:rsidP="0049211D">
      <w:r w:rsidRPr="007B0A30">
        <w:t xml:space="preserve">V roku 2005 inšpektorát v Severnom Írsku zrealizoval prieskum umeleckej výchovy a dizajnu, hudobnej a telesnej výchovy </w:t>
      </w:r>
      <w:proofErr w:type="gramStart"/>
      <w:r w:rsidRPr="007B0A30">
        <w:t>na</w:t>
      </w:r>
      <w:proofErr w:type="gramEnd"/>
      <w:r w:rsidRPr="007B0A30">
        <w:t xml:space="preserve"> vzorke základných škôl. Prieskum ukázal, že všetky tri predmety majú veľkú hodnotu pri stimulácii detského kreatívneho myslenia a predstavivosti, ako aj posilňujú rozvoj zručností </w:t>
      </w:r>
      <w:proofErr w:type="gramStart"/>
      <w:r w:rsidRPr="007B0A30">
        <w:t>a</w:t>
      </w:r>
      <w:proofErr w:type="gramEnd"/>
      <w:r w:rsidRPr="007B0A30">
        <w:t xml:space="preserve"> ich všestranný rozvoj. V správe sa odporúča, aby deti mali viac príležitostí na kreativitu, praktizovali a cibrili svoje zručnosti a ich hodnotenie by malo byť systematickejšie [Pozri </w:t>
      </w:r>
      <w:hyperlink r:id="rId23" w:history="1">
        <w:r w:rsidRPr="007B0A30">
          <w:rPr>
            <w:rStyle w:val="Hypertextovprepojenie"/>
          </w:rPr>
          <w:t>http://www.ofsted.gov.uk/Ofsted-home/Publications-and-research/Browse-all-by/Education/Curriculum/English/Primary/English-2000-05-a-review-of-inspection-evidence</w:t>
        </w:r>
      </w:hyperlink>
      <w:r w:rsidRPr="007B0A30">
        <w:t>].</w:t>
      </w:r>
    </w:p>
    <w:p w:rsidR="0049211D" w:rsidRPr="007B0A30" w:rsidRDefault="0049211D" w:rsidP="0049211D">
      <w:proofErr w:type="gramStart"/>
      <w:r w:rsidRPr="007B0A30">
        <w:t>Šesť štátov má nové prieskumy, ktoré poskytujú informácie o kvalite umeleckého vzdelávania v školách.</w:t>
      </w:r>
      <w:proofErr w:type="gramEnd"/>
      <w:r w:rsidRPr="007B0A30">
        <w:t xml:space="preserve"> </w:t>
      </w:r>
      <w:proofErr w:type="gramStart"/>
      <w:r w:rsidRPr="007B0A30">
        <w:t>V Bulharsku zahájili regionálne školské inštitúcie v roku 2007 prieskum, aby zhodnotili v akom rozsahu boli učitelia umeleckých predmetov schopní zvládnuť definované národné štandardy.</w:t>
      </w:r>
      <w:proofErr w:type="gramEnd"/>
      <w:r w:rsidRPr="007B0A30">
        <w:t xml:space="preserve"> </w:t>
      </w:r>
    </w:p>
    <w:p w:rsidR="0049211D" w:rsidRPr="007B0A30" w:rsidRDefault="0049211D" w:rsidP="0049211D">
      <w:r w:rsidRPr="007B0A30">
        <w:t xml:space="preserve">Vo Francúzsku [Pozri </w:t>
      </w:r>
      <w:hyperlink r:id="rId24" w:history="1">
        <w:r w:rsidRPr="007B0A30">
          <w:rPr>
            <w:rStyle w:val="Hypertextovprepojenie"/>
          </w:rPr>
          <w:t>http://www.ofsted.gov.uk/Ofsted-home/Publications-and-research/Browse-all-by/Education/Curriculum/English/Primary/English-2000-05-a-review-of-inspection-evidence</w:t>
        </w:r>
      </w:hyperlink>
      <w:r w:rsidRPr="007B0A30">
        <w:t xml:space="preserve"> ] prieskum riadený generálnym inšpektorátom národného vzdelávania vrhol nové svetlo na vyučovacie praktiky a monitorovanie základného vzdelávania. Hoci bola zistená dobrá kvalita vyučovania, v správe </w:t>
      </w:r>
      <w:proofErr w:type="gramStart"/>
      <w:r w:rsidRPr="007B0A30">
        <w:t>sa</w:t>
      </w:r>
      <w:proofErr w:type="gramEnd"/>
      <w:r w:rsidRPr="007B0A30">
        <w:t xml:space="preserve"> zdôrazňuje náhodný charakter štúdia v jednotlivých školách, ktoré sa prejavoval nepravidelnou praxou a nedostatkom dôslednosti a kontinuity. Niektoré z poukazovaných nedostatkov sú dôsledkom problémov špecifických pre umelecké disciplíny: nedostatok dôvery </w:t>
      </w:r>
      <w:proofErr w:type="gramStart"/>
      <w:r w:rsidRPr="007B0A30">
        <w:t>na</w:t>
      </w:r>
      <w:proofErr w:type="gramEnd"/>
      <w:r w:rsidRPr="007B0A30">
        <w:t xml:space="preserve"> strane učiteľov, nedostatok praktickej a teoretickej odbornej prípravy. Správa odporúča v troch oblastiach: ujasnenie očakávaní a požiadaviek, reformu monitorovacieho systému, rozvoj a podieľanie </w:t>
      </w:r>
      <w:proofErr w:type="gramStart"/>
      <w:r w:rsidRPr="007B0A30">
        <w:t>sa</w:t>
      </w:r>
      <w:proofErr w:type="gramEnd"/>
      <w:r w:rsidRPr="007B0A30">
        <w:t xml:space="preserve"> na zdrojoch a dobrej praxi. </w:t>
      </w:r>
    </w:p>
    <w:p w:rsidR="0049211D" w:rsidRPr="007B0A30" w:rsidRDefault="0049211D" w:rsidP="0049211D">
      <w:r w:rsidRPr="007B0A30">
        <w:t xml:space="preserve">V Litve bol v roku 2007 zahájený národný prieskum, ktorý sa zameral na organizovanie umeleckých a kultúrnych aktivít na nižšej stredoškolskej úrovni, hodnotenie žiackych prác a predstavenie umeleckých a kultúrnych aktivít školskými odbormi na úrovni miestnych inštitúcií. </w:t>
      </w:r>
    </w:p>
    <w:p w:rsidR="0049211D" w:rsidRPr="007B0A30" w:rsidRDefault="0049211D" w:rsidP="0049211D">
      <w:r w:rsidRPr="007B0A30">
        <w:t xml:space="preserve">V Maďarsku urobil Národný inštitút verejného vzdelávania v školskom roku 2002/03 prieskum o vyučovaní všetkých predmetov </w:t>
      </w:r>
      <w:proofErr w:type="gramStart"/>
      <w:r w:rsidRPr="007B0A30">
        <w:t>na</w:t>
      </w:r>
      <w:proofErr w:type="gramEnd"/>
      <w:r w:rsidRPr="007B0A30">
        <w:t xml:space="preserve"> úrovni základného a nižšieho stredného vzdelávania. Vyše štyritisíc učiteľov vyplnilo dotazník všeobecne o škole </w:t>
      </w:r>
      <w:proofErr w:type="gramStart"/>
      <w:r w:rsidRPr="007B0A30">
        <w:t>a</w:t>
      </w:r>
      <w:proofErr w:type="gramEnd"/>
      <w:r w:rsidRPr="007B0A30">
        <w:t xml:space="preserve"> o vyučovaní ich predmetov. Väčšina učiteľov umeleckých predmetov uviedla, že na </w:t>
      </w:r>
      <w:proofErr w:type="gramStart"/>
      <w:r w:rsidRPr="007B0A30">
        <w:t>výučbu  ich</w:t>
      </w:r>
      <w:proofErr w:type="gramEnd"/>
      <w:r w:rsidRPr="007B0A30">
        <w:t xml:space="preserve"> predmetov je vyčlenený krátky čas. </w:t>
      </w:r>
    </w:p>
    <w:p w:rsidR="0049211D" w:rsidRPr="007B0A30" w:rsidRDefault="0049211D" w:rsidP="0049211D">
      <w:r w:rsidRPr="007B0A30">
        <w:t xml:space="preserve">V Slovinsku prieskumy riadené Národným pedagogickým inštitútom ako aj </w:t>
      </w:r>
      <w:proofErr w:type="gramStart"/>
      <w:r w:rsidRPr="007B0A30">
        <w:t>poskytovateľmi  sústavného</w:t>
      </w:r>
      <w:proofErr w:type="gramEnd"/>
      <w:r w:rsidRPr="007B0A30">
        <w:t xml:space="preserve"> ďalšieho vzdelávania pokračovali v poukazovaní na nedostatok vyučovacieho času umeleckých predmetov a tiež niektorým problémom príznačným pre umenie, ako vyučovanie výtvarných umení a organizovanie zborových cvičení. S ohľadom </w:t>
      </w:r>
      <w:proofErr w:type="gramStart"/>
      <w:r w:rsidRPr="007B0A30">
        <w:t>na</w:t>
      </w:r>
      <w:proofErr w:type="gramEnd"/>
      <w:r w:rsidRPr="007B0A30">
        <w:t xml:space="preserve"> hodnotenie žiaka, správa kladie dôraz na nedostatok pozornosti venovanej celkovému rozvoju žiakov, prejavu ich osobnosti a rozvoju ich zručností. </w:t>
      </w:r>
    </w:p>
    <w:p w:rsidR="0049211D" w:rsidRPr="007B0A30" w:rsidRDefault="0049211D" w:rsidP="0049211D">
      <w:proofErr w:type="gramStart"/>
      <w:r w:rsidRPr="007B0A30">
        <w:t>Vo Fínsku v roku 2008 uskutočnili národné inštitúcie prieskum, aby ohodnotili organizovanie umeleckého vzdelávania v školách.</w:t>
      </w:r>
      <w:proofErr w:type="gramEnd"/>
      <w:r w:rsidRPr="007B0A30">
        <w:t xml:space="preserve"> </w:t>
      </w:r>
      <w:proofErr w:type="gramStart"/>
      <w:r w:rsidRPr="007B0A30">
        <w:t>Výsledky tohto prieskumu neboli publikované.</w:t>
      </w:r>
      <w:proofErr w:type="gramEnd"/>
      <w:r w:rsidRPr="007B0A30">
        <w:t xml:space="preserve"> </w:t>
      </w:r>
    </w:p>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r w:rsidRPr="007B0A30">
        <w:t>&amp;3 Závery</w:t>
      </w:r>
    </w:p>
    <w:p w:rsidR="0049211D" w:rsidRPr="007B0A30" w:rsidRDefault="0049211D" w:rsidP="0049211D">
      <w:r w:rsidRPr="007B0A30">
        <w:t xml:space="preserve">Zodpovednosť za hodnotenie žiackej výkonnosti v umení spočíva prevažne </w:t>
      </w:r>
      <w:proofErr w:type="gramStart"/>
      <w:r w:rsidRPr="007B0A30">
        <w:t>na</w:t>
      </w:r>
      <w:proofErr w:type="gramEnd"/>
      <w:r w:rsidRPr="007B0A30">
        <w:t xml:space="preserve"> učiteľoch, hoci sa vykonáva v rámci stanovenej štruktúry centrálnymi alebo regionálnymi vzdelávacími orgánmi. </w:t>
      </w:r>
      <w:proofErr w:type="gramStart"/>
      <w:r w:rsidRPr="007B0A30">
        <w:t>V niektorých štátoch sú hodnotiace kritériá a hodnotiace stupnice súčasťou tejto štruktúry.</w:t>
      </w:r>
      <w:proofErr w:type="gramEnd"/>
      <w:r w:rsidRPr="007B0A30">
        <w:t xml:space="preserve"> </w:t>
      </w:r>
      <w:proofErr w:type="gramStart"/>
      <w:r w:rsidRPr="007B0A30">
        <w:t>Vo</w:t>
      </w:r>
      <w:proofErr w:type="gramEnd"/>
      <w:r w:rsidRPr="007B0A30">
        <w:t xml:space="preserve"> väčšine vzdelávacích systémov odporúčajú centrálne vzdelávacie orgány špecifické hodnotiace stupnice. </w:t>
      </w:r>
      <w:proofErr w:type="gramStart"/>
      <w:r w:rsidRPr="007B0A30">
        <w:t>Konkrétne hodnotiace kritériá sú centrálne stanovené len v niekoľko málo štátov.</w:t>
      </w:r>
      <w:proofErr w:type="gramEnd"/>
      <w:r w:rsidRPr="007B0A30">
        <w:t xml:space="preserve"> V prípadoch, v ktorých žiaci prejavujú vynikajúce schopnosti alebo naopak, stretávajú </w:t>
      </w:r>
      <w:proofErr w:type="gramStart"/>
      <w:r w:rsidRPr="007B0A30">
        <w:t>sa</w:t>
      </w:r>
      <w:proofErr w:type="gramEnd"/>
      <w:r w:rsidRPr="007B0A30">
        <w:t xml:space="preserve"> s ťažkosťami, prijímajú sa štandardné opatrenia na podporu žiakov, napríklad organizovanie mimoškolských aktivít alebo vytváranie doučovacích tried. </w:t>
      </w:r>
      <w:proofErr w:type="gramStart"/>
      <w:r w:rsidRPr="007B0A30">
        <w:t>Opakovanie ročníka pre neuspokojivý výsledok v umeleckej výchove je zriedkavý, hoci je možné v 19 štátoch.</w:t>
      </w:r>
      <w:proofErr w:type="gramEnd"/>
      <w:r w:rsidRPr="007B0A30">
        <w:t xml:space="preserve"> Veľmi málo štátov zostavuje štandardizované národné testy z umeleckého vzdelávania, z nich </w:t>
      </w:r>
      <w:proofErr w:type="gramStart"/>
      <w:r w:rsidRPr="007B0A30">
        <w:t>sa</w:t>
      </w:r>
      <w:proofErr w:type="gramEnd"/>
      <w:r w:rsidRPr="007B0A30">
        <w:t xml:space="preserve"> vo väčšine testy používajú na monitorovanie kvality vyučovania. Spoločne s týmito testami sú zaradené do monitorovacieho procesu inšpekcie a prieskumy. </w:t>
      </w:r>
      <w:proofErr w:type="gramStart"/>
      <w:r w:rsidRPr="007B0A30">
        <w:t>Trinásť štátov uviedlo pomerne aktuálne správy o kvalite umeleckého vzdelávania v školách.</w:t>
      </w:r>
      <w:proofErr w:type="gramEnd"/>
    </w:p>
    <w:p w:rsidR="0049211D" w:rsidRPr="007B0A30" w:rsidRDefault="0049211D" w:rsidP="0049211D">
      <w:r w:rsidRPr="007B0A30">
        <w:br w:type="page"/>
        <w:t>&amp;1 Závery</w:t>
      </w:r>
    </w:p>
    <w:p w:rsidR="0049211D" w:rsidRPr="007B0A30" w:rsidRDefault="0049211D" w:rsidP="0049211D">
      <w:r w:rsidRPr="007B0A30">
        <w:t xml:space="preserve">Táto štúdia má za úlohu prezentovať aktuálne komplexné a porovnateľné informácie o umeleckom vzdelávaní </w:t>
      </w:r>
      <w:proofErr w:type="gramStart"/>
      <w:r w:rsidRPr="007B0A30">
        <w:t>na</w:t>
      </w:r>
      <w:proofErr w:type="gramEnd"/>
      <w:r w:rsidRPr="007B0A30">
        <w:t xml:space="preserve"> základnom a strednom stupni vzdelávania v Európe. </w:t>
      </w:r>
      <w:proofErr w:type="gramStart"/>
      <w:r w:rsidRPr="007B0A30">
        <w:t>Úlohou týchto záverov je sumarizovať hlavné výsledky porovnávacej štúdie a pripojiť ich k predchádzajúcemu výskumu.</w:t>
      </w:r>
      <w:proofErr w:type="gramEnd"/>
      <w:r w:rsidRPr="007B0A30">
        <w:t xml:space="preserve"> Navyše, zdôrazňujú významné zistenia štúdie o dôležitosti spolupráce s ohľadom </w:t>
      </w:r>
      <w:proofErr w:type="gramStart"/>
      <w:r w:rsidRPr="007B0A30">
        <w:t>na</w:t>
      </w:r>
      <w:proofErr w:type="gramEnd"/>
      <w:r w:rsidRPr="007B0A30">
        <w:t xml:space="preserve"> rozdielne aspekty umeleckého vzdelávania. </w:t>
      </w:r>
    </w:p>
    <w:p w:rsidR="0049211D" w:rsidRPr="007B0A30" w:rsidRDefault="0049211D" w:rsidP="0049211D">
      <w:r w:rsidRPr="007B0A30">
        <w:t xml:space="preserve">&amp;3 Nastolené otázky: čo sme </w:t>
      </w:r>
      <w:proofErr w:type="gramStart"/>
      <w:r w:rsidRPr="007B0A30">
        <w:t>sa</w:t>
      </w:r>
      <w:proofErr w:type="gramEnd"/>
      <w:r w:rsidRPr="007B0A30">
        <w:t xml:space="preserve"> naučili</w:t>
      </w:r>
    </w:p>
    <w:p w:rsidR="0049211D" w:rsidRDefault="0049211D" w:rsidP="0049211D">
      <w:r w:rsidRPr="007B0A30">
        <w:t xml:space="preserve">Úvod štúdie poskytuje prehľad hlavných otázok, </w:t>
      </w:r>
      <w:proofErr w:type="gramStart"/>
      <w:r w:rsidRPr="007B0A30">
        <w:t>na</w:t>
      </w:r>
      <w:proofErr w:type="gramEnd"/>
      <w:r w:rsidRPr="007B0A30">
        <w:t xml:space="preserve"> ktoré sa zamerali existujúce výskumné projekty. Niektoré z týchto otázok boli rovnako nastolené v štúdii, so špecifickým dôrazom na problematiky, ako sú organizácia a ciele umeleckého študijného programu, vzdelávanie učiteľov, hodnotenie žiakov, zapájanie profesionálnych umelcov, využitie IKT v umeleckom vzdelávaní a aktivity mimo študijného programu. Nasledovné časti sumarizujú odpovede, ktoré môže štúdia poskytnúť </w:t>
      </w:r>
      <w:proofErr w:type="gramStart"/>
      <w:r w:rsidRPr="007B0A30">
        <w:t>na</w:t>
      </w:r>
      <w:proofErr w:type="gramEnd"/>
      <w:r w:rsidRPr="007B0A30">
        <w:t xml:space="preserve"> niektoré závažné otázky ohľadne umeleckého vzdelávania v európskych štátoch.</w:t>
      </w:r>
    </w:p>
    <w:p w:rsidR="0049211D" w:rsidRDefault="0049211D" w:rsidP="0049211D">
      <w:pPr>
        <w:rPr>
          <w:lang w:val="de-DE"/>
        </w:rPr>
      </w:pPr>
      <w:r w:rsidRPr="0049211D">
        <w:rPr>
          <w:lang w:val="de-DE"/>
        </w:rPr>
        <w:t>&amp;O Aké je miesto umenia v národných kurikulách?</w:t>
      </w:r>
      <w:r>
        <w:rPr>
          <w:lang w:val="de-DE"/>
        </w:rPr>
        <w:t xml:space="preserve"> </w:t>
      </w:r>
    </w:p>
    <w:p w:rsidR="0049211D" w:rsidRPr="0049211D" w:rsidRDefault="0049211D" w:rsidP="0049211D">
      <w:pPr>
        <w:rPr>
          <w:lang w:val="de-DE"/>
        </w:rPr>
      </w:pPr>
      <w:r>
        <w:rPr>
          <w:lang w:val="de-DE"/>
        </w:rPr>
        <w:t xml:space="preserve"> </w:t>
      </w:r>
    </w:p>
    <w:p w:rsidR="0049211D" w:rsidRPr="00164D62" w:rsidRDefault="0049211D" w:rsidP="0049211D">
      <w:pPr>
        <w:rPr>
          <w:lang w:val="de-DE"/>
        </w:rPr>
      </w:pPr>
      <w:r w:rsidRPr="00164D62">
        <w:rPr>
          <w:lang w:val="de-DE"/>
        </w:rPr>
        <w:t>Predchádzajúci výskum argumentoval, že umelecké vzdelávanie má relatívne nízky status v kurikulu (pozri Úvod). Táto štúdia sa sústredila na organizáciu umeleckého vzdelávania v rámci študijného programu, výučbový čas venovaný umeniu alebo umeleckým predmetom a existenciu medzipredmetových vzťahov medzi umením a ostatnými oblasťami študijného programu.</w:t>
      </w:r>
    </w:p>
    <w:p w:rsidR="0049211D" w:rsidRPr="00164D62" w:rsidRDefault="0049211D" w:rsidP="0049211D">
      <w:pPr>
        <w:rPr>
          <w:lang w:val="de-DE"/>
        </w:rPr>
      </w:pPr>
      <w:r w:rsidRPr="00164D62">
        <w:rPr>
          <w:lang w:val="de-DE"/>
        </w:rPr>
        <w:t>Štúdia rozlíšila dve hlavné formulácie konceptualizácie oblastí umeleckých foriem v rámci kurikula: môžu sa považovať za vzájomne prepojené, a teda zoskupené do integrovanej oblasti v rámci kurikula alebo alternatívne, každý umelecký predmet môže byť posudzovaný osobitne. Menej ako polovica štátov posudzuje umelecké predmety spolu, ako “integrovaný” komponent celého študijného programu, zatiaľ čo zvyšok prijal prístup “separátnych predmetov”. Hoci sú formy umeleckých oblastí posudzované ako časti integrovanej oblasti, môže sa s nimi nakladať ako so samostatnými predmetmi v školách. Navyše, v niektorých prípadoch sú umelecké predmety súčasťou iných povinných predmetov alebo študijných oblastí. Všetky hlavné umelecké predmety definované v tejto štúdii sú vo väčšine štátov v niektorej forme povinné, výtvarná výchova a hudobná výchova sú povinné vo všetkých štátoch. Navyše, dve tretiny štátov zahŕňajú umelecké remeslá do svojho povinného umeleckého kurikula. Vo väčšine štátov, zahŕňajúc dramatické umenie a tanec, sú tieto formy umeleckých oblastí vyučované ako súčasť iných povinných neumeleckých predmetov, zvyčajne v rámci vyučovacieho jazyka a telesnej výchovy. Niekoľko štátov taktiež ponúka samostatné hodiny o médiách a architektúre, ako súčasť povinného umeleckého alebo neumeleckého kurikula (pozri kapitolu 2).</w:t>
      </w:r>
    </w:p>
    <w:p w:rsidR="0049211D" w:rsidRPr="00164D62" w:rsidRDefault="0049211D" w:rsidP="0049211D">
      <w:pPr>
        <w:rPr>
          <w:lang w:val="de-DE"/>
        </w:rPr>
      </w:pPr>
      <w:r w:rsidRPr="00164D62">
        <w:rPr>
          <w:lang w:val="de-DE"/>
        </w:rPr>
        <w:t>Čas venovaný umeleckej výchove − približne polovica európskych štátov venuje od 50 do 100 hodín ročne umeleckej výchove na úrovni základného vzdelávania a od 25 do 75 hodín ročne na stredoškolskej úrovni (pozri kapitolu 2). Na základnej úrovni je to určite menej ako čas vyčlenený vyučovaciemu jazyku, matematike alebo vedám (prírodné a sociálne vedy spolu), ale väčšina štátov venuje viac času umeleckému vzdelávaniu, ako výučbe cudzích jazykov alebo telesnej výchove. Na stredoškolskej úrovni je čas pridelený umeleckým predmetom taktiež nižší v porovnaní s inými predmetmi. Na tejto úrovni väčšina štátov nielenže venuje menej času umeleckému vzdelávaniu ako vyučovaciemu jazyku, matematike a prírodným a sociálnym vedám (spolu alebo oddelene) a cudzím jazykom, ale taktiež menej ako telesnej výchove (viď Ukazovateľ E2 a E3 v Kľúčových údajoch o vzdelávaní v Európe 2009). Zatiaľ čo táto štúdia potvrdzuje výsledky predošlého výskumu o nedostatku času prideleného umeniu na strednom stupni, obrázok je ešte viac neistý, ak sa pozrieme aj na základný stupeň. Predsa len, existujú značné rozdiely medzi štátmi. Navyše, niekoľko štátov umožňuje školám alokovať čas pre študijný program flexibilne, v rámci dlhšej periódy v rozpätí dvoch alebo viac rokov, a iné nechávajú školám autonómiu v rozhodovaní, koľko času bude venované jednotlivým predmetom.</w:t>
      </w:r>
    </w:p>
    <w:p w:rsidR="0049211D" w:rsidRPr="00164D62" w:rsidRDefault="0049211D" w:rsidP="0049211D">
      <w:pPr>
        <w:rPr>
          <w:lang w:val="de-DE"/>
        </w:rPr>
      </w:pPr>
      <w:r w:rsidRPr="00164D62">
        <w:rPr>
          <w:lang w:val="de-DE"/>
        </w:rPr>
        <w:t>Vo väčšine vzdelávacích systémov je možné, aby žiaci opakovali ročník v prípade, že nezískali adekvátne vedomosti a kompetencie požadované na konci školského roku alebo stupňa štúdia. Vo všetkých týchto štátoch – s malými výnimkami – nemá neadekvátna známka v umeleckom predmete žiadne následky pre postup žiaka do ďalšieho ročníka v rámci školy. Teda, pokiaľ sa jedná o rozhodovanie o schopnosti žiaka postúpiť do vyššieho ročníka, má umelecké vzdelávanie iba malú vážnosť (viď kapitola 4).</w:t>
      </w:r>
    </w:p>
    <w:p w:rsidR="0049211D" w:rsidRDefault="0049211D" w:rsidP="0049211D">
      <w:pPr>
        <w:rPr>
          <w:lang w:val="de-DE"/>
        </w:rPr>
      </w:pPr>
      <w:r w:rsidRPr="00164D62">
        <w:rPr>
          <w:lang w:val="de-DE"/>
        </w:rPr>
        <w:t>Pokiaľ sa jedná o prepojenie medzi umeleckými a ostatnými predmetmi, iba tretina európskych štátov podporuje takéto medzištudijné vzťahy. V prípade, že takáto podpora existuje, môže byť predmetom celého študijného programu alebo špecifického programu (napríklad kultúrne vzdelávanie), alebo môže byť v rámci samotného umeleckého programu. V niektorých prípadoch je podporovanie medzištudijných vzťahov explicitne stanovené ako cieľ umeleckého študijného programu a v niekoľkých prípadoch môže byť ustanovené na lokálnej alebo školskej úrovni (viď kapitola 2).</w:t>
      </w:r>
    </w:p>
    <w:p w:rsidR="0049211D" w:rsidRDefault="0049211D" w:rsidP="0049211D">
      <w:pPr>
        <w:rPr>
          <w:lang w:val="de-DE"/>
        </w:rPr>
      </w:pPr>
    </w:p>
    <w:p w:rsidR="0049211D" w:rsidRPr="00164D62" w:rsidRDefault="0049211D" w:rsidP="0049211D">
      <w:pPr>
        <w:rPr>
          <w:lang w:val="de-DE"/>
        </w:rPr>
      </w:pPr>
      <w:r>
        <w:rPr>
          <w:lang w:val="de-DE"/>
        </w:rPr>
        <w:t xml:space="preserve">&amp;O Aké sú ciele umeleckého vzdelávania?  </w:t>
      </w:r>
    </w:p>
    <w:p w:rsidR="0049211D" w:rsidRPr="00164D62" w:rsidRDefault="0049211D" w:rsidP="0049211D">
      <w:pPr>
        <w:rPr>
          <w:lang w:val="de-DE"/>
        </w:rPr>
      </w:pPr>
      <w:r w:rsidRPr="00164D62">
        <w:rPr>
          <w:lang w:val="de-DE"/>
        </w:rPr>
        <w:t>Podobne ako predošlý výskum, štúdia zistila, že existuje značný stupeň zhody medzi európskymi štátmi o kľúčových cieľoch umeleckého vzdelávania. Nie je prekvapujúce, že všetky štáty zameriavajú svoje umelecké študijné programy na rozvoj umeleckých zručností mladých ľudí, ich vedomosti a chápanie. Väčšina taktiež smeruje svoje umelecké študijné programy na rozvoj kritického hodnotenia; pochopenie kultúrneho dedičstva a kultúrnej diverzity; individuálne vyjadrenie sa; a kreativitu (predstavivosť, riešenie problémov a rozumný risk). Iné bežné zamerania boli sociálne zručnosti, komunikačné zručnosti, pôžitok, príťažlivosť k rôznym formám umenia a médií, predstavenie/prezentáciu a environmentálne povedomie (viď kapitola 1).</w:t>
      </w:r>
    </w:p>
    <w:p w:rsidR="0049211D" w:rsidRPr="007D6E9E" w:rsidRDefault="0049211D" w:rsidP="0049211D">
      <w:pPr>
        <w:rPr>
          <w:lang w:val="de-DE"/>
        </w:rPr>
      </w:pPr>
      <w:r w:rsidRPr="00164D62">
        <w:rPr>
          <w:lang w:val="de-DE"/>
        </w:rPr>
        <w:t xml:space="preserve">Štúdia taktiež odhalila niekoľko rozdielov medzi štátmi, keď niektoré mali viac typov zamerania, ako ostatné. </w:t>
      </w:r>
      <w:r w:rsidRPr="007D6E9E">
        <w:rPr>
          <w:lang w:val="de-DE"/>
        </w:rPr>
        <w:t xml:space="preserve">Tri ciele boli identifikované v menej ako polovici štátov: sebavedomie/sebaúcta; podpora celoživotného vzdelávania v umení; identifikácia umeleckého talentu. </w:t>
      </w:r>
    </w:p>
    <w:p w:rsidR="0049211D" w:rsidRPr="007D6E9E" w:rsidRDefault="0049211D" w:rsidP="0049211D">
      <w:pPr>
        <w:rPr>
          <w:lang w:val="de-DE"/>
        </w:rPr>
      </w:pPr>
      <w:r w:rsidRPr="007D6E9E">
        <w:rPr>
          <w:lang w:val="de-DE"/>
        </w:rPr>
        <w:t>Okrem výučbových cieľov identifikovaných ako súčasť umeleckého študijného programu, existujú taktiež zámery v celkovom študijnom programe, ktoré môžu byť prepojené na umelecké a kultúrne vzdelávanie. Pokiaľ štáty stanovili ciele pre svoje celkové študijné programy, tieto spravidla zahŕňajú kultúrne a kreatívne ciele, špeciálne kreativitu, výučbu o kultúrnom dedičstve a kultúrnej diverzite a rozvoj individuálneho vyjadrenia.</w:t>
      </w:r>
    </w:p>
    <w:p w:rsidR="0049211D" w:rsidRPr="007D6E9E" w:rsidRDefault="0049211D" w:rsidP="0049211D">
      <w:pPr>
        <w:rPr>
          <w:lang w:val="de-DE"/>
        </w:rPr>
      </w:pPr>
    </w:p>
    <w:p w:rsidR="0049211D" w:rsidRDefault="0049211D" w:rsidP="0049211D">
      <w:pPr>
        <w:rPr>
          <w:lang w:val="de-DE"/>
        </w:rPr>
      </w:pPr>
    </w:p>
    <w:p w:rsidR="0049211D" w:rsidRPr="007D6E9E" w:rsidRDefault="0049211D" w:rsidP="0049211D">
      <w:pPr>
        <w:rPr>
          <w:lang w:val="de-DE"/>
        </w:rPr>
      </w:pPr>
      <w:r>
        <w:rPr>
          <w:lang w:val="de-DE"/>
        </w:rPr>
        <w:t>&amp;O Akos ú učitelia pripravení pre výučbu umeleckých predmetov a aké pre nich existujú príležitosti na doplnenie ich zručnosti?</w:t>
      </w:r>
    </w:p>
    <w:p w:rsidR="0049211D" w:rsidRPr="007D6E9E" w:rsidRDefault="0049211D" w:rsidP="0049211D">
      <w:pPr>
        <w:rPr>
          <w:lang w:val="de-DE"/>
        </w:rPr>
      </w:pPr>
      <w:r w:rsidRPr="007D6E9E">
        <w:rPr>
          <w:lang w:val="de-DE"/>
        </w:rPr>
        <w:t>Učitelia hrajú rozhodujúcu úlohu v určovaní kvality vzdelávania, vrátane umeleckého vzdelávania. Ako ukazuje štúdia, zatiaľ čo učitelia všeobecnovzdelávacích predmetov majú tendenciu učiť umelecké predmety na základnom stupni, na strednom stupni sú vo väčšine štátov špecializovaní učitelia umeleckých predmetov (viď kapitola 5). Predsa len, školy sú do značnej miery autonómne v rozhodovaní, či zamestnať špecializovaných učiteľov aj na základnom stupni.</w:t>
      </w:r>
    </w:p>
    <w:p w:rsidR="0049211D" w:rsidRPr="007D6E9E" w:rsidRDefault="0049211D" w:rsidP="0049211D">
      <w:pPr>
        <w:rPr>
          <w:lang w:val="de-DE"/>
        </w:rPr>
      </w:pPr>
      <w:r w:rsidRPr="007D6E9E">
        <w:rPr>
          <w:lang w:val="de-DE"/>
        </w:rPr>
        <w:t>O vzdelávaní učiteľov štúdia ukázala, že učitelia všeobecnovzdelávacích predmetov zvyčajne absolvujú odbornú prípravu vo viac ako jednom umeleckom predmete, najčastejšie vo výtvarnom umení a hudbe. Táto zvyčajne zahŕňa prípravu v pedagogike umenia a umeleckom študijnom programe a v menšom rozsahu odbornú prípravu v rozvoji detí v oblasti umenia, histórie umenia alebo osobných umeleckých zručností. Hoci sú umelecké predmety najčastejšie povinné pre budúcich učiteľov všeobecnovzdelávacích predmetov, nie je to vždy prípad počiatočných vzdelávacích programov pre učiteľov. V niektorých štátoch je teda možné, že učitelia všeobecnovzdelávacích predmetov musia vyučovať umelecké predmety bez toho, aby absolvovali primeranú odbornú prípravu v umení. V štátoch, kde nie sú umelecké predmety povinné, existuje iba málo dostupných informácií o tom, akú odbornú prípravu aktuálne absolvujú učitelia všeobecnovzdelávacích predmetov.</w:t>
      </w:r>
    </w:p>
    <w:p w:rsidR="0049211D" w:rsidRPr="007D6E9E" w:rsidRDefault="0049211D" w:rsidP="0049211D">
      <w:pPr>
        <w:rPr>
          <w:lang w:val="de-DE"/>
        </w:rPr>
      </w:pPr>
      <w:r w:rsidRPr="007D6E9E">
        <w:rPr>
          <w:lang w:val="de-DE"/>
        </w:rPr>
        <w:t>V prípade špecializovaných učiteľov, na druhej strane, je demonštrovanie umeleckých zručností v špecifických umeleckých predmetoch predtým, ako sa stanú učiteľmi umeleckých predmetov, zvyčajne požiadavkou vo všetkých tréningových modeloch. Umelecké zručnosti sú obyčajne viac zdôraznené v sekvenčnom modeli.  Navyše, odborná príprava učiteľov je veľmi často, ale nie vždy povinná pre špecializovaných učiteľov umeleckých predmetov.</w:t>
      </w:r>
    </w:p>
    <w:p w:rsidR="0049211D" w:rsidRDefault="0049211D" w:rsidP="0049211D">
      <w:pPr>
        <w:rPr>
          <w:lang w:val="de-DE"/>
        </w:rPr>
      </w:pPr>
      <w:r w:rsidRPr="007D6E9E">
        <w:rPr>
          <w:lang w:val="de-DE"/>
        </w:rPr>
        <w:t xml:space="preserve">Sústavný odborný rozvoj (SOR) je profesionálnou povinnosťou učiteľov vo väčšine európskych štátov. Participácia učiteľov umeleckých predmetov na programoch nie je vo väčšine prípadov osobitne regulovaná. Namiesto toho, všeobecné regulácie o SOR sa zvyčajne aplikujú na učiteľov umeleckých predmetov rovnako, ako na ostatných učiteľov. Existuje však iba málo dostupných informácií o participácii učiteľov umeleckých predmetov na SOR a ich príležitostiach. Predsa, ak aj takéto informácie existujú, ukazujú, že SOR pre učiteľov umeleckých predmetov sa v mnohých štátoch venuje malá pozornosť (viď kapitola 5). Niektoré z národných monitorovacích správ o kvalite umeleckého vzdelávania zdôrazňujú, že učitelia umeleckých predmetov potrebujú participovať v kvalitnom a primeranom doškoľovacom tréningu. Tieto správy, ktoré existujú v tucte štátov, získali svoje závery z výsledkov štandardizovaných testov žiakov, školských inšpekcií alebo prieskumov (viď kapitola 4). </w:t>
      </w:r>
    </w:p>
    <w:p w:rsidR="0049211D" w:rsidRDefault="0049211D" w:rsidP="0049211D">
      <w:pPr>
        <w:rPr>
          <w:lang w:val="de-DE"/>
        </w:rPr>
      </w:pPr>
    </w:p>
    <w:p w:rsidR="0049211D" w:rsidRPr="007D6E9E" w:rsidRDefault="0049211D" w:rsidP="0049211D">
      <w:pPr>
        <w:rPr>
          <w:lang w:val="de-DE"/>
        </w:rPr>
      </w:pPr>
      <w:r>
        <w:rPr>
          <w:lang w:val="de-DE"/>
        </w:rPr>
        <w:t>&amp;O Sú profesionálni umelci zapojení do umeleckej výučby, ak áno, akým spôsobom?</w:t>
      </w:r>
    </w:p>
    <w:p w:rsidR="0049211D" w:rsidRPr="007D6E9E" w:rsidRDefault="0049211D" w:rsidP="0049211D">
      <w:pPr>
        <w:rPr>
          <w:lang w:val="de-DE"/>
        </w:rPr>
      </w:pPr>
      <w:r w:rsidRPr="007D6E9E">
        <w:rPr>
          <w:lang w:val="de-DE"/>
        </w:rPr>
        <w:t>Ako sme spomínali v úvode, zapájanie profesionálnych umelcov do umeleckého vzdelávania bolo odporúčané v niekoľkých predošlých štúdiách. Z tohto dôvodu bola štúdia zameraná na existujúcu prax v európskych štátoch (viď kapitola 5). Zistenia ukazujú, že profesionálni umelci nie sú často zapájaní do výučby na základnom a strednom stupni. Vo väčšine štátov na to, aby mohli učiť umelecké predmety v školách, musia profesionálni umelci absolvovať odbornú prípravu pre učiteľov. Existujú samozrejme výnimky z tohto pravidla; a niekoľko štátov umožňuje profesionálnym umelcom učiť dočasne bez požadovanej pedagogickej kvalifikácie alebo učiteľskej odbornej prípravy. Predsa len v týchto prípadoch, aby získali stále miesto, sú profesionálni umelci povinní absolvovať odbornú prípravu pre učiteľov po určitom čase.</w:t>
      </w:r>
    </w:p>
    <w:p w:rsidR="0049211D" w:rsidRPr="007D6E9E" w:rsidRDefault="0049211D" w:rsidP="0049211D">
      <w:pPr>
        <w:rPr>
          <w:lang w:val="de-DE"/>
        </w:rPr>
      </w:pPr>
      <w:r w:rsidRPr="007D6E9E">
        <w:rPr>
          <w:lang w:val="de-DE"/>
        </w:rPr>
        <w:t>Toto taktiež znamená, že najbežnejšia cesta ako zapojiť profesionálnych umelcov do umeleckého vzdelávania je podporiť partnerstvo medzi školami a profesionálnymi umeleckými organizáciami a/alebo umelcami, zahŕňajúc návštevy zaujímavých kultúrnych miest (špeciálne múzeí a galérií) a projekty zapájajúce umelcov alebo umelecké v školách. Všetky štáty podporujú takéto iniciatívy, hoci tieto odporúčania môžu byť implementované na národnej, lokálnej alebo školskej úrovni (viď kapitola 3).</w:t>
      </w:r>
    </w:p>
    <w:p w:rsidR="0049211D" w:rsidRDefault="0049211D" w:rsidP="0049211D">
      <w:pPr>
        <w:rPr>
          <w:lang w:val="de-DE"/>
        </w:rPr>
      </w:pPr>
      <w:r w:rsidRPr="007D6E9E">
        <w:rPr>
          <w:lang w:val="de-DE"/>
        </w:rPr>
        <w:t>Zapájanie profesionálnych umelcov do vzdelávania učiteľov a ich odbornú prípravu, zvyčajne zahŕňa organizovanie workshopov, seminárov alebo participáciu profesionálnych umelcov na umeleckých projektoch na univerzitách alebo akadémiách pre odbornú prípravu učiteľov. Vo väčšine štátov neexistujú centrálne programy pre uľahčenie zapájania profesionálnych umelcov do odborného vzdelávania a prípravy učiteľov. Vo väčšine európskych štátov ostáva zodpovednosťou vysokoškolských inštitúcií a iných (kultúrnych) inštitúcií ponúkajúcich programy odbornej prípravy, aby prizvali profesionálnych umelcov (viď kapitola 5).</w:t>
      </w:r>
    </w:p>
    <w:p w:rsidR="0049211D" w:rsidRDefault="0049211D" w:rsidP="0049211D">
      <w:pPr>
        <w:rPr>
          <w:lang w:val="de-DE"/>
        </w:rPr>
      </w:pPr>
    </w:p>
    <w:p w:rsidR="0049211D" w:rsidRPr="007D6E9E" w:rsidRDefault="0049211D" w:rsidP="0049211D">
      <w:pPr>
        <w:rPr>
          <w:lang w:val="de-DE"/>
        </w:rPr>
      </w:pPr>
      <w:r>
        <w:rPr>
          <w:lang w:val="de-DE"/>
        </w:rPr>
        <w:t>&amp;O Posudzujú učitelia napredovanie svojich žiakov v umení, ak áno, akým spôsobom?</w:t>
      </w:r>
    </w:p>
    <w:p w:rsidR="0049211D" w:rsidRPr="007D6E9E" w:rsidRDefault="0049211D" w:rsidP="0049211D">
      <w:pPr>
        <w:rPr>
          <w:lang w:val="de-DE"/>
        </w:rPr>
      </w:pPr>
      <w:r w:rsidRPr="007D6E9E">
        <w:rPr>
          <w:lang w:val="de-DE"/>
        </w:rPr>
        <w:t xml:space="preserve">Hodnotenie výkonu žiakov v umeleckých predmetoch je všeobecne vnímané ako zvlášť náročné. Tento názor bol spomenutý v niektorých nedávnych národných monitorovacích správach o kvalite umeleckého vzdelávania. Zodpovednosť za hodnotenie žiakov je hlavne na učiteľoch. Predsa len, je vykonávané v rámci schémy definovanej centrálnymi alebo regionálnymi autoritami, ktorá je viac či menej detailná, v závislosti od štátu. V niekoľkých vzdelávacích systémoch centrálne alebo regionálne autority explicitne definujú hodnotiace kritériá. Hodnotiace kritérium je zložené z výučbových cieľov, alebo viac všeobecne, niektoré aspekty sú posudzované a spájané s požadovanými výkonovými úrovňami. Globálne, vo väčšine štátov si sami učitelia stanovujú hodnotiace kritériá pre posúdenie práce vyprodukovanej žiakmi, a robia to na základe obsahu alebo výučbových cieľov definovaných študijným programom. V tomto prípade je nevyhnutné, aby učitelia získali primeranú podporu, aby mohli trvale vykonávať hodnotenie počas školských rokov. Táto podpora môže mať rôzne formy: národné smernice,  predmetové komisie na úrovni školy, atď. (viď kapitola 4). </w:t>
      </w:r>
    </w:p>
    <w:p w:rsidR="0049211D" w:rsidRPr="007D6E9E" w:rsidRDefault="0049211D" w:rsidP="0049211D">
      <w:pPr>
        <w:rPr>
          <w:lang w:val="de-DE"/>
        </w:rPr>
      </w:pPr>
      <w:r w:rsidRPr="007D6E9E">
        <w:rPr>
          <w:lang w:val="de-DE"/>
        </w:rPr>
        <w:t xml:space="preserve">Väčšina štátov odporúča použitie jedného alebo niekoľkých typov hodnotiacich škál, hlavne na strednom stupni, kde sú najbežnejšie škály numerických známok. Na základnom stupni je najfrekventovanejšou praxou, ktorá existuje v tucte štátov, používanie verbálnych komentárov. </w:t>
      </w:r>
    </w:p>
    <w:p w:rsidR="0049211D" w:rsidRPr="007D6E9E" w:rsidRDefault="0049211D" w:rsidP="0049211D">
      <w:pPr>
        <w:rPr>
          <w:lang w:val="de-DE"/>
        </w:rPr>
      </w:pPr>
      <w:r w:rsidRPr="007D6E9E">
        <w:rPr>
          <w:lang w:val="de-DE"/>
        </w:rPr>
        <w:t xml:space="preserve">Špecifické opatrenia na zohľadnenie potrieb všetkých žiakov a špeciálne žiakov na oboch póloch výkonovej škály existujú v mnohých štátoch. Niektoré sú úplne štandardné, napríklad organizovanie doučovacích tried, alebo opakovanie skúšok v prípade slabého výkonu. V prípade vynikajúcich výsledkov, sú študenti povzbudzovaní k participácii na mimoštudijných aktivitách a súťažiach, alebo aby nastúpili na špecializované umelecké inštitúcie (konzervatóriá). Aby boli efektívne, tieto opatrenia musia napĺňať potreby žiakov. Toto môže byť dosahované cez kvalitné hodnotenie. </w:t>
      </w:r>
    </w:p>
    <w:p w:rsidR="0049211D" w:rsidRPr="007D6E9E" w:rsidRDefault="0049211D" w:rsidP="0049211D">
      <w:pPr>
        <w:rPr>
          <w:lang w:val="de-DE"/>
        </w:rPr>
      </w:pPr>
    </w:p>
    <w:p w:rsidR="0049211D" w:rsidRDefault="0049211D" w:rsidP="0049211D">
      <w:pPr>
        <w:rPr>
          <w:lang w:val="de-DE"/>
        </w:rPr>
      </w:pPr>
    </w:p>
    <w:p w:rsidR="0049211D" w:rsidRDefault="0049211D" w:rsidP="0049211D">
      <w:pPr>
        <w:rPr>
          <w:lang w:val="de-DE"/>
        </w:rPr>
      </w:pPr>
    </w:p>
    <w:p w:rsidR="0049211D" w:rsidRPr="007D6E9E" w:rsidRDefault="0049211D" w:rsidP="0049211D">
      <w:pPr>
        <w:rPr>
          <w:lang w:val="de-DE"/>
        </w:rPr>
      </w:pPr>
      <w:r>
        <w:rPr>
          <w:lang w:val="de-DE"/>
        </w:rPr>
        <w:t>&amp;O Je použitie IKT podporované národným umeleckým študijným programom a špecifickými vzdelávacími projektmi?</w:t>
      </w:r>
    </w:p>
    <w:p w:rsidR="0049211D" w:rsidRPr="007D6E9E" w:rsidRDefault="0049211D" w:rsidP="0049211D">
      <w:pPr>
        <w:rPr>
          <w:lang w:val="de-DE"/>
        </w:rPr>
      </w:pPr>
      <w:r w:rsidRPr="007D6E9E">
        <w:rPr>
          <w:lang w:val="de-DE"/>
        </w:rPr>
        <w:t>Nedávne štúdie zdôraznili tlak na rozvoj študijného programu v umení, aby dal žiakom príležitosť využiť IKT ako súčasť kreatívneho procesu. Táto štúdia v skutočnosti ukazuje, že využitie IKT v rámci umeleckého študijného programu je podporované v mnohých štátoch. Nad rámec tohto všeobecného vyhlásenia, pozícia a dôležitosť IKT v rámci študijného programu je medzi štátmi rôzličná. IKT môžu byť považované za medzištudijne dosahovaný cieľ a/alebo môžu byť explicitne stanovené ako súčasť umeleckého študijného programu. Určité umelecké predmety sa javia ako viac odporúčané pre používanie IKT, ako sú výtvarné umenie, mediálne štúdiá a hudba (viď kapitola 2).</w:t>
      </w:r>
    </w:p>
    <w:p w:rsidR="0049211D" w:rsidRDefault="0049211D" w:rsidP="0049211D">
      <w:pPr>
        <w:rPr>
          <w:lang w:val="de-DE"/>
        </w:rPr>
      </w:pPr>
      <w:r w:rsidRPr="007D6E9E">
        <w:rPr>
          <w:lang w:val="de-DE"/>
        </w:rPr>
        <w:t>Navyše, niekoľko štátov ohlasuje špecifické projekty podporujúce IKT v rámci umeleckého vzdelávania. V niektorých prípadoch sú tieto projekty manažované orgánmi alebo organizáciami zameranými na podporu umenia alebo IKT vo vzdelávaní. Niektoré štáty prijali špeciálne politiky alebo iniciatívy navrhnuté na poskytovanie elektronických zdrojov, ako sú softvér alebo on-line dokumentačné zdroje školám, ktoré sú využívané taktiež na zlepšenie umeleckého vzdelávania (pozri kapitola 3).</w:t>
      </w:r>
    </w:p>
    <w:p w:rsidR="0049211D" w:rsidRPr="007D6E9E" w:rsidRDefault="0049211D" w:rsidP="0049211D">
      <w:pPr>
        <w:rPr>
          <w:lang w:val="de-DE"/>
        </w:rPr>
      </w:pPr>
      <w:r>
        <w:rPr>
          <w:lang w:val="de-DE"/>
        </w:rPr>
        <w:t>&amp;O Podporujú vzdelávacie autority mimoškolské aktivity v umení?</w:t>
      </w:r>
    </w:p>
    <w:p w:rsidR="0049211D" w:rsidRPr="007D6E9E" w:rsidRDefault="0049211D" w:rsidP="0049211D">
      <w:pPr>
        <w:rPr>
          <w:lang w:val="de-DE"/>
        </w:rPr>
      </w:pPr>
      <w:r w:rsidRPr="007D6E9E">
        <w:rPr>
          <w:lang w:val="de-DE"/>
        </w:rPr>
        <w:t>Takmer všetky európske štáty podporujú školy, aby ponúkali mimoškolské aktivity v umení. Niekoľko z nich má zákonnom stanovené odporúčania pre školy. V týchto štátoch sa môže od škôl požadovať, aby napríklad zahrnuli voliteľné mimoškolské aktivity umeleckej povahy do svojich študijných plánov. Rozsah, do akého sú tieto aktivity navrhované, aby prispievali k práci žiaka na škole sa rôzni medzi štátmi. V niektorých ich vnímajú ako doplnkové a podporujúce študijný program. Bežnejšie sú vnímané ako prospešné k celkovému vzdelávaciemu procesu, zvlášť pre osobný rozvoj. Hoci môžu byť v rôznych umeleckých formách, hudba sa javí ako osobitne dobre zastúpená (viď kapitola 3).</w:t>
      </w:r>
    </w:p>
    <w:p w:rsidR="0049211D" w:rsidRPr="007D6E9E" w:rsidRDefault="0049211D" w:rsidP="0049211D">
      <w:pPr>
        <w:rPr>
          <w:lang w:val="de-DE"/>
        </w:rPr>
      </w:pPr>
      <w:r w:rsidRPr="007D6E9E">
        <w:rPr>
          <w:lang w:val="de-DE"/>
        </w:rPr>
        <w:t>Zabezpečenie rovnakého prístupu k takýmto aktivitám môže byť v niektorých štátoch problémom, kde participácia závisí od toho, či rodičia platia za účasť svojho dieťaťa. V niektorých prípadoch závisí platená suma od sociálno-ekonomickej situácie rodičov. Niekoľko štátov vykazuje, že národná alebo lokálna vláda poskytuje plné financovanie alebo dotovanie mimoškolských umeleckých aktivít.</w:t>
      </w:r>
    </w:p>
    <w:p w:rsidR="0049211D" w:rsidRPr="007D6E9E" w:rsidRDefault="0049211D" w:rsidP="0049211D">
      <w:pPr>
        <w:rPr>
          <w:lang w:val="de-DE"/>
        </w:rPr>
      </w:pPr>
      <w:r w:rsidRPr="007D6E9E">
        <w:rPr>
          <w:lang w:val="de-DE"/>
        </w:rPr>
        <w:t>&amp;3 Dôležitá úloha spolupráce pre rozvoj umeleckého vzdelávania</w:t>
      </w:r>
    </w:p>
    <w:p w:rsidR="0049211D" w:rsidRPr="007D6E9E" w:rsidRDefault="0049211D" w:rsidP="0049211D">
      <w:pPr>
        <w:rPr>
          <w:lang w:val="de-DE"/>
        </w:rPr>
      </w:pPr>
      <w:r w:rsidRPr="007D6E9E">
        <w:rPr>
          <w:lang w:val="de-DE"/>
        </w:rPr>
        <w:t xml:space="preserve">Za predpokladu, že existuje bežné inštitucionálne a organizačné prostredie, v rámci ktorého má miesto umelecké vzdelávanie, aby sa mohla rozvíjať dobrá kvalita vzdelávania, je potrebné volať po spolupráci medzi rôznymi aktérmi na úrovni tvorby politiky, rovnako ako v školách. V poslednom prípade, môže mať spolupráca nielen miesto v rámci vzdelávacích inštitúcií, ale taktiež by mohla zapojiť profesionálov z oblasti umenia.  </w:t>
      </w:r>
    </w:p>
    <w:p w:rsidR="0049211D" w:rsidRPr="007D6E9E" w:rsidRDefault="0049211D" w:rsidP="0049211D">
      <w:pPr>
        <w:rPr>
          <w:lang w:val="de-DE"/>
        </w:rPr>
      </w:pPr>
      <w:r w:rsidRPr="007D6E9E">
        <w:rPr>
          <w:lang w:val="de-DE"/>
        </w:rPr>
        <w:t>Na to, aby žiaci dostali šancu získať skúsenosť s umením z prvej ruky, musí byť spolupráca medzi školami a vzdelávacími autoritami na jednej strane a umelcami a inštitúciami podporujúcimi umenie na strane druhej. V niektorých štátoch sú zodpovednosti za vzdelávanie a kultúru alokované v rámci jedného ministerstva (viď kapitola 1). Toto môže zvyčajne uľahčiť spoluprácu medzi odlišnými sférami aktivít. Iné štáty založili orgány zamerané na rozvoj umeleckého a kultúrneho vzdelávania, v rámci ktorých spolupracujú rôzne ministerstvá a odbory. Tieto orgány, ktorých účel je v závislosti od štátu, sa usilujú budovať partnerstvo medzi svetmi vzdelávania a umenia: spúšťajú projekty, rozširujú informácie a znalosti o umeleckom vzdelávaní, poskytujú špecializované vzdelávacie zdroje, podporujú umelecké programy v rámci škôl, atď. (viď kapitola 3).</w:t>
      </w:r>
    </w:p>
    <w:p w:rsidR="0049211D" w:rsidRPr="007D6E9E" w:rsidRDefault="0049211D" w:rsidP="0049211D">
      <w:pPr>
        <w:rPr>
          <w:lang w:val="de-DE"/>
        </w:rPr>
      </w:pPr>
      <w:r w:rsidRPr="007D6E9E">
        <w:rPr>
          <w:lang w:val="de-DE"/>
        </w:rPr>
        <w:t>V niektorých štátoch je kooperácia medzi školami a kultúrnymi inštitúciami podporovaná preto, aby skvalitnila obsah mimoškolských umeleckých aktivít a rozvinula nové kreatívne pracovné metódy na školách (viď kapitola3). Všeobecnejšie, môže byť spolupráca medzi učiteľmi škôl hlavného prúdu a učiteľmi zo špecializovaných umeleckých inštitúcií, ako sú napríklad umelecké akadémie, s určitosťou prospešná pre výučbu umenia na oboch stranách.</w:t>
      </w:r>
    </w:p>
    <w:p w:rsidR="0049211D" w:rsidRPr="007D6E9E" w:rsidRDefault="0049211D" w:rsidP="0049211D">
      <w:pPr>
        <w:rPr>
          <w:lang w:val="de-DE"/>
        </w:rPr>
      </w:pPr>
      <w:r w:rsidRPr="007D6E9E">
        <w:rPr>
          <w:lang w:val="de-DE"/>
        </w:rPr>
        <w:t>Zapájanie profesionálnych umelcov do vzdelávania a odbornej prípravy učiteľov, rovnako ako do SOR môže určite prispieť k zlepšeniu kvality umeleckého vzdelávania. Iba veľmi málo štátov vykazuje, že má centrálne programy na zapájanie profesionálnych umelcov do vzdelávania a odbornej prípravy učiteľov, rovnako ako do SOR (viď kapitola 5).</w:t>
      </w:r>
      <w:r w:rsidRPr="007D6E9E">
        <w:rPr>
          <w:highlight w:val="yellow"/>
          <w:lang w:val="de-DE"/>
        </w:rPr>
        <w:t xml:space="preserve"> </w:t>
      </w:r>
    </w:p>
    <w:p w:rsidR="0049211D" w:rsidRPr="007D6E9E" w:rsidRDefault="0049211D" w:rsidP="0049211D">
      <w:pPr>
        <w:rPr>
          <w:lang w:val="de-DE"/>
        </w:rPr>
      </w:pPr>
      <w:r w:rsidRPr="007D6E9E">
        <w:rPr>
          <w:lang w:val="de-DE"/>
        </w:rPr>
        <w:t xml:space="preserve">V mnohých štátoch sú formy umenia zoskupené do integrovanej oblasti v rámci študijného programu (viď kapitola 2). To však neznamená, že umelecké vzdelávanie, ktoré takmer vo všetkých prípadoch pokrýva oblasti tak rôznorodé ako sú hudba a výtvarné umenie, je vyučované jediným učiteľom. Spolupráca medzi učiteľmi školy je teda nevyhnutná, v prípade, že niekoľko z nich je zodpovedných za poskytovanie umeleckého vzdelávania. Rovnaká potreba sa ukazuje aj v niektorých formách umenia, ako sú tanec alebo dramatické umenie, ktoré sú súčasťou iného povinného predmetu. </w:t>
      </w:r>
    </w:p>
    <w:p w:rsidR="0049211D" w:rsidRPr="00164D62" w:rsidRDefault="0049211D" w:rsidP="0049211D">
      <w:pPr>
        <w:rPr>
          <w:lang w:val="de-DE"/>
        </w:rPr>
      </w:pPr>
      <w:r w:rsidRPr="007D6E9E">
        <w:rPr>
          <w:lang w:val="de-DE"/>
        </w:rPr>
        <w:t xml:space="preserve">Rozvoj kreativity je cieľom jasne pripisovaným väčšine umeleckých vzdelávacích programov. </w:t>
      </w:r>
      <w:r w:rsidRPr="00164D62">
        <w:rPr>
          <w:lang w:val="de-DE"/>
        </w:rPr>
        <w:t>Je taktiež priebežným mwdzníkom v niektorých z nich (viď kapitola 1). Plodná spolupráca medzi učiteľmi umeleckých predmetov a ostatnými učiteľmi v škole by mala pomôcť dosiahnuť tento cieľ v študijnom programe. Všeobecnejšie, úzka spolupráca medzi všetkými učiteľmi je mimoriadne dôležitá pre školy vo vzdelávacích systémoch, kde sú silne podporované medzipredmetové vzťahy.</w:t>
      </w:r>
    </w:p>
    <w:p w:rsidR="0049211D" w:rsidRPr="00164D62" w:rsidRDefault="0049211D" w:rsidP="0049211D">
      <w:pPr>
        <w:rPr>
          <w:lang w:val="de-DE"/>
        </w:rPr>
        <w:sectPr w:rsidR="0049211D" w:rsidRPr="00164D62" w:rsidSect="006A02B8">
          <w:pgSz w:w="16840" w:h="11907" w:orient="landscape" w:code="9"/>
          <w:pgMar w:top="1134" w:right="567" w:bottom="1134" w:left="567" w:header="2268" w:footer="709" w:gutter="0"/>
          <w:pgNumType w:start="51"/>
          <w:cols w:space="708"/>
          <w:titlePg/>
          <w:docGrid w:linePitch="360"/>
        </w:sectPr>
      </w:pPr>
    </w:p>
    <w:p w:rsidR="0049211D" w:rsidRPr="007B0A30" w:rsidRDefault="0049211D" w:rsidP="0049211D">
      <w:r w:rsidRPr="007B0A30">
        <w:t>&amp;1 Slovník</w:t>
      </w:r>
    </w:p>
    <w:p w:rsidR="0049211D" w:rsidRPr="007B0A30" w:rsidRDefault="0049211D" w:rsidP="0049211D"/>
    <w:p w:rsidR="0049211D" w:rsidRPr="007B0A30" w:rsidRDefault="0049211D" w:rsidP="0049211D">
      <w:pPr>
        <w:rPr>
          <w:rFonts w:eastAsia="Arial Unicode MS"/>
        </w:rPr>
      </w:pPr>
      <w:r w:rsidRPr="007B0A30">
        <w:t xml:space="preserve">&amp;3 Kódy štátov </w:t>
      </w:r>
    </w:p>
    <w:tbl>
      <w:tblPr>
        <w:tblW w:w="0" w:type="auto"/>
        <w:tblInd w:w="108" w:type="dxa"/>
        <w:tblLayout w:type="fixed"/>
        <w:tblLook w:val="0000"/>
      </w:tblPr>
      <w:tblGrid>
        <w:gridCol w:w="882"/>
        <w:gridCol w:w="3185"/>
        <w:gridCol w:w="300"/>
        <w:gridCol w:w="1072"/>
        <w:gridCol w:w="3633"/>
      </w:tblGrid>
      <w:tr w:rsidR="0049211D" w:rsidRPr="007B0A30" w:rsidTr="005A72A4">
        <w:tc>
          <w:tcPr>
            <w:tcW w:w="882"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EU-27</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Európska únia</w:t>
            </w:r>
          </w:p>
        </w:tc>
        <w:tc>
          <w:tcPr>
            <w:tcW w:w="300" w:type="dxa"/>
            <w:tcBorders>
              <w:top w:val="nil"/>
              <w:left w:val="single" w:sz="4" w:space="0" w:color="auto"/>
              <w:bottom w:val="nil"/>
              <w:right w:val="single" w:sz="4" w:space="0" w:color="auto"/>
            </w:tcBorders>
            <w:vAlign w:val="center"/>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NL</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Holandsko</w:t>
            </w:r>
          </w:p>
        </w:tc>
      </w:tr>
      <w:tr w:rsidR="0049211D" w:rsidRPr="007B0A30" w:rsidTr="005A72A4">
        <w:tc>
          <w:tcPr>
            <w:tcW w:w="882" w:type="dxa"/>
            <w:tcBorders>
              <w:top w:val="single" w:sz="4" w:space="0" w:color="auto"/>
              <w:left w:val="single" w:sz="4" w:space="0" w:color="auto"/>
              <w:bottom w:val="single" w:sz="4" w:space="0" w:color="auto"/>
              <w:right w:val="nil"/>
            </w:tcBorders>
          </w:tcPr>
          <w:p w:rsidR="0049211D" w:rsidRPr="007B0A30" w:rsidRDefault="0049211D" w:rsidP="005A72A4"/>
        </w:tc>
        <w:tc>
          <w:tcPr>
            <w:tcW w:w="3185" w:type="dxa"/>
            <w:tcBorders>
              <w:top w:val="single" w:sz="4" w:space="0" w:color="auto"/>
              <w:left w:val="nil"/>
              <w:bottom w:val="single" w:sz="4" w:space="0" w:color="auto"/>
              <w:right w:val="single" w:sz="4" w:space="0" w:color="auto"/>
            </w:tcBorders>
            <w:vAlign w:val="center"/>
          </w:tcPr>
          <w:p w:rsidR="0049211D" w:rsidRPr="007B0A30" w:rsidRDefault="0049211D" w:rsidP="005A72A4"/>
        </w:tc>
        <w:tc>
          <w:tcPr>
            <w:tcW w:w="300" w:type="dxa"/>
            <w:tcBorders>
              <w:top w:val="nil"/>
              <w:left w:val="single" w:sz="4" w:space="0" w:color="auto"/>
              <w:bottom w:val="nil"/>
              <w:right w:val="single" w:sz="4" w:space="0" w:color="auto"/>
            </w:tcBorders>
            <w:vAlign w:val="center"/>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AT</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Rakúsko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BE</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Belgicko</w:t>
            </w:r>
          </w:p>
        </w:tc>
        <w:tc>
          <w:tcPr>
            <w:tcW w:w="300" w:type="dxa"/>
            <w:tcBorders>
              <w:top w:val="nil"/>
              <w:left w:val="single" w:sz="4" w:space="0" w:color="auto"/>
              <w:bottom w:val="nil"/>
              <w:right w:val="single" w:sz="4" w:space="0" w:color="auto"/>
            </w:tcBorders>
            <w:vAlign w:val="center"/>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PL</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Poľsko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BE fr</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Belgicko – Francúzske spoločenstvo</w:t>
            </w:r>
          </w:p>
        </w:tc>
        <w:tc>
          <w:tcPr>
            <w:tcW w:w="300" w:type="dxa"/>
            <w:tcBorders>
              <w:top w:val="nil"/>
              <w:left w:val="single" w:sz="4" w:space="0" w:color="auto"/>
              <w:bottom w:val="nil"/>
              <w:right w:val="single" w:sz="4" w:space="0" w:color="auto"/>
            </w:tcBorders>
            <w:vAlign w:val="center"/>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49211D" w:rsidRPr="007B0A30" w:rsidRDefault="0049211D" w:rsidP="005A72A4">
            <w:r w:rsidRPr="007B0A30">
              <w:t>PT</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Portugalsko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BE de</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 xml:space="preserve">Belgicko – Nemecké spoločenstvo </w:t>
            </w:r>
          </w:p>
        </w:tc>
        <w:tc>
          <w:tcPr>
            <w:tcW w:w="300" w:type="dxa"/>
            <w:tcBorders>
              <w:top w:val="nil"/>
              <w:left w:val="single" w:sz="4" w:space="0" w:color="auto"/>
              <w:bottom w:val="nil"/>
              <w:right w:val="single" w:sz="4" w:space="0" w:color="auto"/>
            </w:tcBorders>
            <w:vAlign w:val="center"/>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RO</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Rumunsko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BE nl</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Belgicko – Flámske spoločenstvo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SI</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Slovinsko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BG</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Bulharsko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SK</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Slovensko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CZ</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Česká republika</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FI</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Fínsko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DK</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Dánsko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SE</w:t>
            </w:r>
          </w:p>
        </w:tc>
        <w:tc>
          <w:tcPr>
            <w:tcW w:w="3633"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Švédsko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DE</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Nemecko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UK</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Spojené kráľovstvo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EE</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Estónsko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UK-ENG</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Anglicko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IE</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Írsko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UK-WLS</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Wales</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EL</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Grécko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UK-NIR</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Severné Írsko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ES</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Španielsko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UK-SCT</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Škótsko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FR</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Francúzsko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nil"/>
            </w:tcBorders>
            <w:tcMar>
              <w:top w:w="0" w:type="dxa"/>
              <w:left w:w="108" w:type="dxa"/>
              <w:bottom w:w="0" w:type="dxa"/>
              <w:right w:w="0" w:type="dxa"/>
            </w:tcMar>
          </w:tcPr>
          <w:p w:rsidR="0049211D" w:rsidRPr="007B0A30" w:rsidRDefault="0049211D" w:rsidP="005A72A4"/>
        </w:tc>
        <w:tc>
          <w:tcPr>
            <w:tcW w:w="3633" w:type="dxa"/>
            <w:tcBorders>
              <w:top w:val="single" w:sz="4" w:space="0" w:color="auto"/>
              <w:left w:val="nil"/>
              <w:bottom w:val="single" w:sz="4" w:space="0" w:color="auto"/>
              <w:right w:val="single" w:sz="4" w:space="0" w:color="auto"/>
            </w:tcBorders>
            <w:vAlign w:val="center"/>
          </w:tcPr>
          <w:p w:rsidR="0049211D" w:rsidRPr="007B0A30" w:rsidRDefault="0049211D" w:rsidP="005A72A4"/>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IT</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Taliansko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nil"/>
              <w:right w:val="single" w:sz="4" w:space="0" w:color="auto"/>
            </w:tcBorders>
            <w:tcMar>
              <w:top w:w="0" w:type="dxa"/>
              <w:left w:w="108" w:type="dxa"/>
              <w:bottom w:w="0" w:type="dxa"/>
              <w:right w:w="0" w:type="dxa"/>
            </w:tcMar>
          </w:tcPr>
          <w:p w:rsidR="0049211D" w:rsidRPr="007B0A30" w:rsidRDefault="0049211D" w:rsidP="005A72A4">
            <w:r w:rsidRPr="007B0A30">
              <w:t xml:space="preserve">EFTA/EEA </w:t>
            </w:r>
          </w:p>
        </w:tc>
        <w:tc>
          <w:tcPr>
            <w:tcW w:w="3633" w:type="dxa"/>
            <w:tcBorders>
              <w:top w:val="single" w:sz="4" w:space="0" w:color="auto"/>
              <w:left w:val="single" w:sz="4" w:space="0" w:color="auto"/>
              <w:bottom w:val="nil"/>
              <w:right w:val="single" w:sz="4" w:space="0" w:color="auto"/>
            </w:tcBorders>
            <w:vAlign w:val="center"/>
          </w:tcPr>
          <w:p w:rsidR="0049211D" w:rsidRPr="007B0A30" w:rsidRDefault="0049211D" w:rsidP="005A72A4">
            <w:r w:rsidRPr="007B0A30">
              <w:t>Tri štáty európskeho voľného obchodu</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CY</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Cyprus</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nil"/>
              <w:left w:val="single" w:sz="4" w:space="0" w:color="auto"/>
              <w:bottom w:val="nil"/>
              <w:right w:val="single" w:sz="4" w:space="0" w:color="auto"/>
            </w:tcBorders>
            <w:tcMar>
              <w:top w:w="0" w:type="dxa"/>
              <w:left w:w="108" w:type="dxa"/>
              <w:bottom w:w="0" w:type="dxa"/>
              <w:right w:w="0" w:type="dxa"/>
            </w:tcMar>
          </w:tcPr>
          <w:p w:rsidR="0049211D" w:rsidRPr="007B0A30" w:rsidRDefault="0049211D" w:rsidP="005A72A4">
            <w:r w:rsidRPr="007B0A30">
              <w:t>štáty</w:t>
            </w:r>
          </w:p>
        </w:tc>
        <w:tc>
          <w:tcPr>
            <w:tcW w:w="3633" w:type="dxa"/>
            <w:tcBorders>
              <w:top w:val="nil"/>
              <w:left w:val="single" w:sz="4" w:space="0" w:color="auto"/>
              <w:bottom w:val="nil"/>
              <w:right w:val="single" w:sz="4" w:space="0" w:color="auto"/>
            </w:tcBorders>
            <w:vAlign w:val="center"/>
          </w:tcPr>
          <w:p w:rsidR="0049211D" w:rsidRPr="007B0A30" w:rsidRDefault="0049211D" w:rsidP="005A72A4">
            <w:r w:rsidRPr="007B0A30">
              <w:t>Asociácia, ktorá je členom Európskeho hospodárskeho priestoru</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LV</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Lotyšsko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nil"/>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tc>
        <w:tc>
          <w:tcPr>
            <w:tcW w:w="3633" w:type="dxa"/>
            <w:tcBorders>
              <w:top w:val="nil"/>
              <w:left w:val="single" w:sz="4" w:space="0" w:color="auto"/>
              <w:bottom w:val="single" w:sz="4" w:space="0" w:color="auto"/>
              <w:right w:val="single" w:sz="4" w:space="0" w:color="auto"/>
            </w:tcBorders>
            <w:vAlign w:val="center"/>
          </w:tcPr>
          <w:p w:rsidR="0049211D" w:rsidRPr="007B0A30" w:rsidRDefault="0049211D" w:rsidP="005A72A4"/>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LT</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Litva</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nil"/>
            </w:tcBorders>
            <w:tcMar>
              <w:top w:w="0" w:type="dxa"/>
              <w:left w:w="108" w:type="dxa"/>
              <w:bottom w:w="0" w:type="dxa"/>
              <w:right w:w="0" w:type="dxa"/>
            </w:tcMar>
          </w:tcPr>
          <w:p w:rsidR="0049211D" w:rsidRPr="007B0A30" w:rsidRDefault="0049211D" w:rsidP="005A72A4"/>
        </w:tc>
        <w:tc>
          <w:tcPr>
            <w:tcW w:w="3633" w:type="dxa"/>
            <w:tcBorders>
              <w:top w:val="single" w:sz="4" w:space="0" w:color="auto"/>
              <w:left w:val="nil"/>
              <w:bottom w:val="single" w:sz="4" w:space="0" w:color="auto"/>
              <w:right w:val="single" w:sz="4" w:space="0" w:color="auto"/>
            </w:tcBorders>
            <w:vAlign w:val="center"/>
          </w:tcPr>
          <w:p w:rsidR="0049211D" w:rsidRPr="007B0A30" w:rsidRDefault="0049211D" w:rsidP="005A72A4"/>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LU</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Luxembursko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IS</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Island</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HU</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Maďarsko</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LI</w:t>
            </w:r>
          </w:p>
        </w:tc>
        <w:tc>
          <w:tcPr>
            <w:tcW w:w="3633"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Lichtenštajnsko</w:t>
            </w:r>
          </w:p>
        </w:tc>
      </w:tr>
      <w:tr w:rsidR="0049211D" w:rsidRPr="007B0A30" w:rsidTr="005A72A4">
        <w:tc>
          <w:tcPr>
            <w:tcW w:w="882"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MT</w:t>
            </w:r>
          </w:p>
        </w:tc>
        <w:tc>
          <w:tcPr>
            <w:tcW w:w="3185" w:type="dxa"/>
            <w:tcBorders>
              <w:top w:val="single" w:sz="4" w:space="0" w:color="auto"/>
              <w:left w:val="single" w:sz="4" w:space="0" w:color="auto"/>
              <w:bottom w:val="single" w:sz="4" w:space="0" w:color="auto"/>
              <w:right w:val="single" w:sz="4" w:space="0" w:color="auto"/>
            </w:tcBorders>
            <w:vAlign w:val="center"/>
          </w:tcPr>
          <w:p w:rsidR="0049211D" w:rsidRPr="007B0A30" w:rsidRDefault="0049211D" w:rsidP="005A72A4">
            <w:r w:rsidRPr="007B0A30">
              <w:t>Malta</w:t>
            </w:r>
          </w:p>
        </w:tc>
        <w:tc>
          <w:tcPr>
            <w:tcW w:w="300" w:type="dxa"/>
            <w:tcBorders>
              <w:top w:val="nil"/>
              <w:left w:val="single" w:sz="4" w:space="0" w:color="auto"/>
              <w:bottom w:val="nil"/>
              <w:right w:val="single" w:sz="4" w:space="0" w:color="auto"/>
            </w:tcBorders>
          </w:tcPr>
          <w:p w:rsidR="0049211D" w:rsidRPr="007B0A30" w:rsidRDefault="0049211D"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49211D" w:rsidRPr="007B0A30" w:rsidRDefault="0049211D" w:rsidP="005A72A4">
            <w:r w:rsidRPr="007B0A30">
              <w:t>NO</w:t>
            </w:r>
          </w:p>
        </w:tc>
        <w:tc>
          <w:tcPr>
            <w:tcW w:w="3633" w:type="dxa"/>
            <w:tcBorders>
              <w:top w:val="single" w:sz="4" w:space="0" w:color="auto"/>
              <w:left w:val="single" w:sz="4" w:space="0" w:color="auto"/>
              <w:bottom w:val="single" w:sz="4" w:space="0" w:color="auto"/>
              <w:right w:val="single" w:sz="4" w:space="0" w:color="auto"/>
            </w:tcBorders>
          </w:tcPr>
          <w:p w:rsidR="0049211D" w:rsidRPr="007B0A30" w:rsidRDefault="0049211D" w:rsidP="005A72A4">
            <w:r w:rsidRPr="007B0A30">
              <w:t>Nórsko</w:t>
            </w:r>
          </w:p>
        </w:tc>
      </w:tr>
    </w:tbl>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Pr>
        <w:sectPr w:rsidR="0049211D" w:rsidRPr="007B0A30" w:rsidSect="006A02B8">
          <w:footerReference w:type="even" r:id="rId25"/>
          <w:pgSz w:w="16840" w:h="11907" w:orient="landscape" w:code="9"/>
          <w:pgMar w:top="1134" w:right="567" w:bottom="1134" w:left="567" w:header="2268" w:footer="709" w:gutter="0"/>
          <w:cols w:space="708"/>
          <w:titlePg/>
          <w:docGrid w:linePitch="360"/>
        </w:sectPr>
      </w:pPr>
    </w:p>
    <w:p w:rsidR="0049211D" w:rsidRPr="007B0A30" w:rsidRDefault="0049211D" w:rsidP="0049211D"/>
    <w:p w:rsidR="0049211D" w:rsidRPr="007B0A30" w:rsidRDefault="0049211D" w:rsidP="0049211D">
      <w:r w:rsidRPr="007B0A30">
        <w:br w:type="page"/>
      </w:r>
    </w:p>
    <w:p w:rsidR="0049211D" w:rsidRPr="007B0A30" w:rsidRDefault="0049211D" w:rsidP="0049211D"/>
    <w:p w:rsidR="0049211D" w:rsidRPr="007B0A30" w:rsidRDefault="0049211D" w:rsidP="0049211D"/>
    <w:p w:rsidR="0049211D" w:rsidRPr="007B0A30" w:rsidRDefault="0049211D" w:rsidP="0049211D">
      <w:pPr>
        <w:sectPr w:rsidR="0049211D" w:rsidRPr="007B0A30" w:rsidSect="006A02B8">
          <w:pgSz w:w="16840" w:h="11907" w:orient="landscape" w:code="9"/>
          <w:pgMar w:top="1134" w:right="567" w:bottom="1134" w:left="567" w:header="2268" w:footer="709" w:gutter="0"/>
          <w:cols w:space="708"/>
          <w:titlePg/>
          <w:docGrid w:linePitch="360"/>
        </w:sectPr>
      </w:pPr>
    </w:p>
    <w:p w:rsidR="0049211D" w:rsidRPr="007B0A30" w:rsidRDefault="0049211D" w:rsidP="0049211D">
      <w:r w:rsidRPr="007B0A30">
        <w:t>&amp;1 Odkazy</w:t>
      </w:r>
    </w:p>
    <w:p w:rsidR="0049211D" w:rsidRPr="007B0A30" w:rsidRDefault="0049211D" w:rsidP="0049211D">
      <w:proofErr w:type="gramStart"/>
      <w:r w:rsidRPr="007B0A30">
        <w:t>Austrian Presidency of the EU, 2006.</w:t>
      </w:r>
      <w:proofErr w:type="gramEnd"/>
      <w:r w:rsidRPr="007B0A30">
        <w:t xml:space="preserve"> European Specialist Conference: Promoting Cultural Education in Europe. </w:t>
      </w:r>
      <w:proofErr w:type="gramStart"/>
      <w:r w:rsidRPr="007B0A30">
        <w:t>A Contribution to Participation, Innovation and Quality.</w:t>
      </w:r>
      <w:proofErr w:type="gramEnd"/>
      <w:r w:rsidRPr="007B0A30">
        <w:t xml:space="preserve"> </w:t>
      </w:r>
      <w:proofErr w:type="gramStart"/>
      <w:r w:rsidRPr="007B0A30">
        <w:t>Conference report.</w:t>
      </w:r>
      <w:proofErr w:type="gramEnd"/>
      <w:r w:rsidRPr="007B0A30">
        <w:t xml:space="preserve"> Graz, 8-10 June 2006. Federal Ministry for Education, Culture and Science: Vienna.</w:t>
      </w:r>
    </w:p>
    <w:p w:rsidR="0049211D" w:rsidRPr="007B0A30" w:rsidRDefault="0049211D" w:rsidP="0049211D">
      <w:r w:rsidRPr="007B0A30">
        <w:t xml:space="preserve">Bamford, A., 2009. </w:t>
      </w:r>
      <w:proofErr w:type="gramStart"/>
      <w:r w:rsidRPr="007B0A30">
        <w:t>An Introduction to Arts and Cultural Education Evaluation.</w:t>
      </w:r>
      <w:proofErr w:type="gramEnd"/>
      <w:r w:rsidRPr="007B0A30">
        <w:t xml:space="preserve"> Unpublished paper commissioned by Creativity, Culture and Education (CCE). The report formed the basis of the recommendations adopted by the EU’s Open Method of Co-ordination group on the synergies between culture and education in June 2009.</w:t>
      </w:r>
    </w:p>
    <w:p w:rsidR="0049211D" w:rsidRPr="007B0A30" w:rsidRDefault="0049211D" w:rsidP="0049211D">
      <w:r w:rsidRPr="007B0A30">
        <w:t>Bamford, A., 2006. The Wow Factor: Global Research Compendium on the Impact of the Arts in Education. Berlin: Waxmann Verlag.</w:t>
      </w:r>
    </w:p>
    <w:p w:rsidR="0049211D" w:rsidRPr="007B0A30" w:rsidRDefault="0049211D" w:rsidP="0049211D">
      <w:proofErr w:type="gramStart"/>
      <w:r w:rsidRPr="007B0A30">
        <w:t>Black, P. &amp; William, D., 1998.</w:t>
      </w:r>
      <w:proofErr w:type="gramEnd"/>
      <w:r w:rsidRPr="007B0A30">
        <w:t xml:space="preserve"> </w:t>
      </w:r>
      <w:proofErr w:type="gramStart"/>
      <w:r w:rsidRPr="007B0A30">
        <w:t>Assessment and Classroom Learning.</w:t>
      </w:r>
      <w:proofErr w:type="gramEnd"/>
      <w:r w:rsidRPr="007B0A30">
        <w:t xml:space="preserve"> </w:t>
      </w:r>
      <w:proofErr w:type="gramStart"/>
      <w:r w:rsidRPr="007B0A30">
        <w:t>Assessment in Education, 5(1), pp.7-74.</w:t>
      </w:r>
      <w:proofErr w:type="gramEnd"/>
    </w:p>
    <w:p w:rsidR="0049211D" w:rsidRPr="007B0A30" w:rsidRDefault="0049211D" w:rsidP="0049211D">
      <w:proofErr w:type="gramStart"/>
      <w:r w:rsidRPr="007B0A30">
        <w:t>Council of Europe, 2005.</w:t>
      </w:r>
      <w:proofErr w:type="gramEnd"/>
      <w:r w:rsidRPr="007B0A30">
        <w:t xml:space="preserve"> The Council of Europe Framework Convention on the Value of Cultural Heritage for Society, Council of Europe Treaty Series No. 199, Faro, 27 October 2005. </w:t>
      </w:r>
    </w:p>
    <w:p w:rsidR="0049211D" w:rsidRPr="007B0A30" w:rsidRDefault="0049211D" w:rsidP="0049211D">
      <w:proofErr w:type="gramStart"/>
      <w:r w:rsidRPr="007B0A30">
        <w:t>Council of Europe, 2008.</w:t>
      </w:r>
      <w:proofErr w:type="gramEnd"/>
      <w:r w:rsidRPr="007B0A30">
        <w:t xml:space="preserve"> White Paper on Intercultural Dialogue: 'Living Together as Equals in Dignity'. Launched by the Council of Europe Ministers of Foreign Affairs at their 118th Ministerial Session, Strasbourg, </w:t>
      </w:r>
      <w:proofErr w:type="gramStart"/>
      <w:r w:rsidRPr="007B0A30">
        <w:t>7</w:t>
      </w:r>
      <w:proofErr w:type="gramEnd"/>
      <w:r w:rsidRPr="007B0A30">
        <w:t xml:space="preserve"> May 2008.</w:t>
      </w:r>
    </w:p>
    <w:p w:rsidR="0049211D" w:rsidRPr="007B0A30" w:rsidRDefault="0049211D" w:rsidP="0049211D">
      <w:proofErr w:type="gramStart"/>
      <w:r w:rsidRPr="007B0A30">
        <w:t>Council of the European Union, 2007a.</w:t>
      </w:r>
      <w:proofErr w:type="gramEnd"/>
      <w:r w:rsidRPr="007B0A30">
        <w:t xml:space="preserve"> </w:t>
      </w:r>
      <w:proofErr w:type="gramStart"/>
      <w:r w:rsidRPr="007B0A30">
        <w:t>Resolution of the Council of 16 November 2007 on a European Agenda for Culture.</w:t>
      </w:r>
      <w:proofErr w:type="gramEnd"/>
      <w:r w:rsidRPr="007B0A30">
        <w:t xml:space="preserve"> Official Journal of the European Union C 287, 29.11.2007, pp. 01-04. Available at: http://eur-lex.europa.eu/LexUriServ/LexUriServ.do?uri=</w:t>
      </w:r>
      <w:r w:rsidR="00392E01">
        <w:t>OJ:C:2007:287:0001:0004:EN:PDF (</w:t>
      </w:r>
      <w:r w:rsidRPr="007B0A30">
        <w:t>Accessed 26 August 2009</w:t>
      </w:r>
      <w:r w:rsidR="00392E01">
        <w:t>)</w:t>
      </w:r>
      <w:r w:rsidRPr="007B0A30">
        <w:t>.</w:t>
      </w:r>
    </w:p>
    <w:p w:rsidR="0049211D" w:rsidRPr="007B0A30" w:rsidRDefault="0049211D" w:rsidP="0049211D">
      <w:proofErr w:type="gramStart"/>
      <w:r w:rsidRPr="007B0A30">
        <w:t>Council of the European Union, 2007b.</w:t>
      </w:r>
      <w:proofErr w:type="gramEnd"/>
      <w:r w:rsidRPr="007B0A30">
        <w:t xml:space="preserve"> </w:t>
      </w:r>
      <w:proofErr w:type="gramStart"/>
      <w:r w:rsidRPr="007B0A30">
        <w:t>Conclusions of the Council and of the Representatives of the Governments of the Member States, meeting within the Council of 15 November 2007, on improving the quality of teacher education.</w:t>
      </w:r>
      <w:proofErr w:type="gramEnd"/>
      <w:r w:rsidRPr="007B0A30">
        <w:t xml:space="preserve"> Official Journal of the European Union C 300, 12.12.2007, pp. 06-09. </w:t>
      </w:r>
      <w:proofErr w:type="gramStart"/>
      <w:r w:rsidRPr="007B0A30">
        <w:t xml:space="preserve">http://eur-lex.europa.eu/LexUriServ/LexUriServ.do?uri=OJ:C:2007:300:0006:0009:EN:PDF </w:t>
      </w:r>
      <w:r w:rsidR="00392E01">
        <w:t>(</w:t>
      </w:r>
      <w:r w:rsidRPr="007B0A30">
        <w:t>Accessed 26 August 2009</w:t>
      </w:r>
      <w:r w:rsidR="00392E01">
        <w:t>)</w:t>
      </w:r>
      <w:r w:rsidRPr="007B0A30">
        <w:t>.</w:t>
      </w:r>
      <w:proofErr w:type="gramEnd"/>
    </w:p>
    <w:p w:rsidR="0049211D" w:rsidRPr="007B0A30" w:rsidRDefault="0049211D" w:rsidP="0049211D">
      <w:proofErr w:type="gramStart"/>
      <w:r w:rsidRPr="007B0A30">
        <w:t>Council of the European Union, 2008.</w:t>
      </w:r>
      <w:proofErr w:type="gramEnd"/>
      <w:r w:rsidRPr="007B0A30">
        <w:t xml:space="preserve"> Council Conclusions on the Work Plan for Culture 2008-2010, 2868th Education, Youth and Culture Council meeting, Brussels, 21 May 2008, Available at: http://www.eu2008.si/si/News_and_Documents/Council</w:t>
      </w:r>
      <w:r w:rsidR="00392E01">
        <w:t>_Conclusions/May/0521_EYC2.pdf (</w:t>
      </w:r>
      <w:r w:rsidRPr="007B0A30">
        <w:t>Accessed 26 August 2009</w:t>
      </w:r>
      <w:r w:rsidR="00392E01">
        <w:t>)</w:t>
      </w:r>
      <w:r w:rsidRPr="007B0A30">
        <w:t>.</w:t>
      </w:r>
    </w:p>
    <w:p w:rsidR="0049211D" w:rsidRPr="007B0A30" w:rsidRDefault="0049211D" w:rsidP="0049211D">
      <w:proofErr w:type="gramStart"/>
      <w:r w:rsidRPr="007B0A30">
        <w:t>Creativity in Education Advisory Group, 2001.</w:t>
      </w:r>
      <w:proofErr w:type="gramEnd"/>
      <w:r w:rsidRPr="007B0A30">
        <w:t xml:space="preserve"> </w:t>
      </w:r>
      <w:proofErr w:type="gramStart"/>
      <w:r w:rsidRPr="007B0A30">
        <w:t>Creativity in Education.</w:t>
      </w:r>
      <w:proofErr w:type="gramEnd"/>
      <w:r w:rsidRPr="007B0A30">
        <w:t xml:space="preserve"> Dundee: Learning and Teaching Scotland.</w:t>
      </w:r>
    </w:p>
    <w:p w:rsidR="0049211D" w:rsidRPr="007B0A30" w:rsidRDefault="0049211D" w:rsidP="0049211D">
      <w:r w:rsidRPr="007B0A30">
        <w:t xml:space="preserve">Cultuurnetwerk Nederland, 2002. </w:t>
      </w:r>
      <w:proofErr w:type="gramStart"/>
      <w:r w:rsidRPr="007B0A30">
        <w:t>A Must or a-Muse – Conference Results.</w:t>
      </w:r>
      <w:proofErr w:type="gramEnd"/>
      <w:r w:rsidRPr="007B0A30">
        <w:t xml:space="preserve"> Arts and Culture in Education: Policy and Practice in Europe. Report of the European Conference, Rotterdam, 26-29 September 2001. Utrecht: Cultuurnetwerk Nederland.</w:t>
      </w:r>
    </w:p>
    <w:p w:rsidR="0049211D" w:rsidRPr="007B0A30" w:rsidRDefault="0049211D" w:rsidP="0049211D">
      <w:proofErr w:type="gramStart"/>
      <w:r w:rsidRPr="007B0A30">
        <w:t>Department for Children, School and Families, UK (DCSF), 2007.</w:t>
      </w:r>
      <w:proofErr w:type="gramEnd"/>
      <w:r w:rsidRPr="007B0A30">
        <w:t xml:space="preserve"> The Children's Plan: Building Brighter Futures (Cm. 7280). London: DCSF. Crown Copyright.</w:t>
      </w:r>
    </w:p>
    <w:p w:rsidR="0049211D" w:rsidRPr="007B0A30" w:rsidRDefault="0049211D" w:rsidP="0049211D">
      <w:proofErr w:type="gramStart"/>
      <w:r w:rsidRPr="007B0A30">
        <w:t>Department for Culture, Media and Sport, UK (DCMS), 2008.</w:t>
      </w:r>
      <w:proofErr w:type="gramEnd"/>
      <w:r w:rsidRPr="007B0A30">
        <w:t xml:space="preserve"> Creative Britain: New Talents for the New Economy. London: DCMS. Crown Copyright.</w:t>
      </w:r>
    </w:p>
    <w:p w:rsidR="0049211D" w:rsidRPr="007B0A30" w:rsidRDefault="0049211D" w:rsidP="0049211D">
      <w:proofErr w:type="gramStart"/>
      <w:r w:rsidRPr="007B0A30">
        <w:t>Downing, D., Johnson, F. &amp; Kaur, S., 2003.</w:t>
      </w:r>
      <w:proofErr w:type="gramEnd"/>
      <w:r w:rsidRPr="007B0A30">
        <w:t xml:space="preserve"> Saving a Place for the Arts? </w:t>
      </w:r>
      <w:proofErr w:type="gramStart"/>
      <w:r w:rsidRPr="007B0A30">
        <w:t>A Survey of the Arts in Primary Schools in England, LGA Research Report 41.</w:t>
      </w:r>
      <w:proofErr w:type="gramEnd"/>
      <w:r w:rsidRPr="007B0A30">
        <w:t xml:space="preserve"> Slough: NFER.</w:t>
      </w:r>
    </w:p>
    <w:p w:rsidR="0049211D" w:rsidRPr="007B0A30" w:rsidRDefault="0049211D" w:rsidP="0049211D">
      <w:proofErr w:type="gramStart"/>
      <w:r w:rsidRPr="007B0A30">
        <w:t>European Commission, 2007.</w:t>
      </w:r>
      <w:proofErr w:type="gramEnd"/>
      <w:r w:rsidRPr="007B0A30">
        <w:t xml:space="preserve"> Communication from the Commission to the European Parliament, the Council, the European Economic </w:t>
      </w:r>
      <w:proofErr w:type="gramStart"/>
      <w:r w:rsidRPr="007B0A30">
        <w:t>And</w:t>
      </w:r>
      <w:proofErr w:type="gramEnd"/>
      <w:r w:rsidRPr="007B0A30">
        <w:t xml:space="preserve"> Social Committee and the Committee of the Regions on a European Agenda for Culture in a Globalizing World. </w:t>
      </w:r>
      <w:proofErr w:type="gramStart"/>
      <w:r w:rsidRPr="007B0A30">
        <w:t>COM(</w:t>
      </w:r>
      <w:proofErr w:type="gramEnd"/>
      <w:r w:rsidRPr="007B0A30">
        <w:t>2007) 242 final.</w:t>
      </w:r>
    </w:p>
    <w:p w:rsidR="0049211D" w:rsidRPr="007B0A30" w:rsidRDefault="0049211D" w:rsidP="0049211D">
      <w:proofErr w:type="gramStart"/>
      <w:r w:rsidRPr="007B0A30">
        <w:t>European Parliament, 2009.</w:t>
      </w:r>
      <w:proofErr w:type="gramEnd"/>
      <w:r w:rsidRPr="007B0A30">
        <w:t xml:space="preserve"> </w:t>
      </w:r>
      <w:proofErr w:type="gramStart"/>
      <w:r w:rsidRPr="007B0A30">
        <w:t>European Parliament Resolution of 24 March 2009 on Artistic Studies in the European Union.</w:t>
      </w:r>
      <w:proofErr w:type="gramEnd"/>
      <w:r w:rsidRPr="007B0A30">
        <w:t xml:space="preserve"> </w:t>
      </w:r>
      <w:proofErr w:type="gramStart"/>
      <w:r w:rsidRPr="007B0A30">
        <w:t>INI/2008/2226.</w:t>
      </w:r>
      <w:proofErr w:type="gramEnd"/>
    </w:p>
    <w:p w:rsidR="0049211D" w:rsidRPr="007B0A30" w:rsidRDefault="0049211D" w:rsidP="0049211D">
      <w:proofErr w:type="gramStart"/>
      <w:r w:rsidRPr="007B0A30">
        <w:t>Eurydice, 2006.</w:t>
      </w:r>
      <w:proofErr w:type="gramEnd"/>
      <w:r w:rsidRPr="007B0A30">
        <w:t xml:space="preserve"> Specific Educational Measures to </w:t>
      </w:r>
      <w:proofErr w:type="gramStart"/>
      <w:r w:rsidRPr="007B0A30">
        <w:t>Promote</w:t>
      </w:r>
      <w:proofErr w:type="gramEnd"/>
      <w:r w:rsidRPr="007B0A30">
        <w:t xml:space="preserve"> all Forms of Giftedness at School in Europe. </w:t>
      </w:r>
      <w:proofErr w:type="gramStart"/>
      <w:r w:rsidRPr="007B0A30">
        <w:t>Working document.</w:t>
      </w:r>
      <w:proofErr w:type="gramEnd"/>
      <w:r w:rsidRPr="007B0A30">
        <w:t xml:space="preserve"> Brussels: Eurydice.</w:t>
      </w:r>
    </w:p>
    <w:p w:rsidR="0049211D" w:rsidRPr="007B0A30" w:rsidRDefault="0049211D" w:rsidP="0049211D">
      <w:proofErr w:type="gramStart"/>
      <w:r w:rsidRPr="007B0A30">
        <w:t>Eurydice, 2009a.</w:t>
      </w:r>
      <w:proofErr w:type="gramEnd"/>
      <w:r w:rsidRPr="007B0A30">
        <w:t xml:space="preserve"> Higher Education in Europe 2009: Developments in the Bologna Process. Brussels: EACEA/Eurydice P9.</w:t>
      </w:r>
    </w:p>
    <w:p w:rsidR="0049211D" w:rsidRPr="007B0A30" w:rsidRDefault="0049211D" w:rsidP="0049211D">
      <w:proofErr w:type="gramStart"/>
      <w:r w:rsidRPr="007B0A30">
        <w:t>Eurydice, 2009b.</w:t>
      </w:r>
      <w:proofErr w:type="gramEnd"/>
      <w:r w:rsidRPr="007B0A30">
        <w:t xml:space="preserve"> </w:t>
      </w:r>
      <w:proofErr w:type="gramStart"/>
      <w:r w:rsidRPr="007B0A30">
        <w:t>Key Data on Education in Europe 2009.</w:t>
      </w:r>
      <w:proofErr w:type="gramEnd"/>
      <w:r w:rsidRPr="007B0A30">
        <w:t xml:space="preserve"> Brussels: EACEA/Eurydice P9.</w:t>
      </w:r>
    </w:p>
    <w:p w:rsidR="0049211D" w:rsidRPr="007B0A30" w:rsidRDefault="0049211D" w:rsidP="0049211D">
      <w:proofErr w:type="gramStart"/>
      <w:r w:rsidRPr="007B0A30">
        <w:t>Eurydice, 2009c.</w:t>
      </w:r>
      <w:proofErr w:type="gramEnd"/>
      <w:r w:rsidRPr="007B0A30">
        <w:t xml:space="preserve"> National Testing for Pupils in Europe: Objectives, Organisation and Use of the Results. Brussels: EACEA/Eurydice P9.</w:t>
      </w:r>
    </w:p>
    <w:p w:rsidR="0049211D" w:rsidRPr="007B0A30" w:rsidRDefault="0049211D" w:rsidP="0049211D">
      <w:proofErr w:type="gramStart"/>
      <w:r w:rsidRPr="007B0A30">
        <w:t>Harlen, W., 2004.</w:t>
      </w:r>
      <w:proofErr w:type="gramEnd"/>
      <w:r w:rsidRPr="007B0A30">
        <w:t xml:space="preserve"> </w:t>
      </w:r>
      <w:proofErr w:type="gramStart"/>
      <w:r w:rsidRPr="007B0A30">
        <w:t>A Systematic Review of the Evidence of Reliability and Validity of Assessment by Teachers Used for Summative Purposes.</w:t>
      </w:r>
      <w:proofErr w:type="gramEnd"/>
      <w:r w:rsidRPr="007B0A30">
        <w:t xml:space="preserve"> </w:t>
      </w:r>
      <w:proofErr w:type="gramStart"/>
      <w:r w:rsidRPr="007B0A30">
        <w:t>In Research Evidence in Education Library.</w:t>
      </w:r>
      <w:proofErr w:type="gramEnd"/>
      <w:r w:rsidRPr="007B0A30">
        <w:t xml:space="preserve"> London: EPPI-Centre, Social Science Research Unit, Institute of Education, University of London.</w:t>
      </w:r>
    </w:p>
    <w:p w:rsidR="0049211D" w:rsidRPr="007B0A30" w:rsidRDefault="0049211D" w:rsidP="0049211D">
      <w:proofErr w:type="gramStart"/>
      <w:r w:rsidRPr="007B0A30">
        <w:t>International Society for Education through Art, 2006.</w:t>
      </w:r>
      <w:proofErr w:type="gramEnd"/>
      <w:r w:rsidRPr="007B0A30">
        <w:t xml:space="preserve"> </w:t>
      </w:r>
      <w:proofErr w:type="gramStart"/>
      <w:r w:rsidRPr="007B0A30">
        <w:t>Joint declaration of the International Drama/Theatre and Education Association (IDEA), International Society for Education through Art (InSEA) and International Society for Music Education (ISME).</w:t>
      </w:r>
      <w:proofErr w:type="gramEnd"/>
      <w:r w:rsidRPr="007B0A30">
        <w:t xml:space="preserve"> </w:t>
      </w:r>
      <w:proofErr w:type="gramStart"/>
      <w:r w:rsidRPr="007B0A30">
        <w:t>Unesco</w:t>
      </w:r>
      <w:proofErr w:type="gramEnd"/>
      <w:r w:rsidRPr="007B0A30">
        <w:t xml:space="preserve"> World Arts Conference, Lisbon, 6 March 2006. Available at: http://www.inse</w:t>
      </w:r>
      <w:r w:rsidR="00392E01">
        <w:t>a.org/docs/joint_decl2006.html (</w:t>
      </w:r>
      <w:r w:rsidRPr="007B0A30">
        <w:t>Accessed 18 May 2009</w:t>
      </w:r>
      <w:r w:rsidR="00392E01">
        <w:t>)</w:t>
      </w:r>
      <w:r w:rsidRPr="007B0A30">
        <w:t>.</w:t>
      </w:r>
    </w:p>
    <w:p w:rsidR="0049211D" w:rsidRPr="007B0A30" w:rsidRDefault="0049211D" w:rsidP="0049211D">
      <w:r w:rsidRPr="007B0A30">
        <w:t xml:space="preserve">KEA </w:t>
      </w:r>
      <w:proofErr w:type="gramStart"/>
      <w:r w:rsidRPr="007B0A30">
        <w:t>Europea  n</w:t>
      </w:r>
      <w:proofErr w:type="gramEnd"/>
      <w:r w:rsidRPr="007B0A30">
        <w:t xml:space="preserve"> Affairs, 2009. </w:t>
      </w:r>
      <w:proofErr w:type="gramStart"/>
      <w:r w:rsidRPr="007B0A30">
        <w:t>The Impact of Culture on Creativity.</w:t>
      </w:r>
      <w:proofErr w:type="gramEnd"/>
      <w:r w:rsidRPr="007B0A30">
        <w:t xml:space="preserve"> Study prepared for the European Commission, Directorate General for Education and Culture. Brussels: KEA European Affairs.</w:t>
      </w:r>
    </w:p>
    <w:p w:rsidR="0049211D" w:rsidRPr="007B0A30" w:rsidRDefault="0049211D" w:rsidP="0049211D">
      <w:proofErr w:type="gramStart"/>
      <w:r w:rsidRPr="007B0A30">
        <w:t>Learning and Teaching Scotland, 2004.</w:t>
      </w:r>
      <w:proofErr w:type="gramEnd"/>
      <w:r w:rsidRPr="007B0A30">
        <w:t xml:space="preserve"> Creativity Counts: A Report of Findings from Schools. Dundee: Learning and Teaching Scotland.</w:t>
      </w:r>
    </w:p>
    <w:p w:rsidR="0049211D" w:rsidRPr="007B0A30" w:rsidRDefault="0049211D" w:rsidP="0049211D">
      <w:proofErr w:type="gramStart"/>
      <w:r w:rsidRPr="007B0A30">
        <w:t>National Advisory Committee on Creative and Cultural Education (NACCCE), 1999.</w:t>
      </w:r>
      <w:proofErr w:type="gramEnd"/>
      <w:r w:rsidRPr="007B0A30">
        <w:t xml:space="preserve"> All Our Futures: Creativity, Culture and Education. Available at: http://www.cypni.org.</w:t>
      </w:r>
      <w:r w:rsidR="00392E01">
        <w:t>uk/downloads/alloutfutures.pdf (</w:t>
      </w:r>
      <w:r w:rsidRPr="007B0A30">
        <w:t>Accessed 22 May 2009</w:t>
      </w:r>
      <w:r w:rsidR="00392E01">
        <w:t>)</w:t>
      </w:r>
      <w:r w:rsidRPr="007B0A30">
        <w:t>.</w:t>
      </w:r>
    </w:p>
    <w:p w:rsidR="0049211D" w:rsidRPr="007B0A30" w:rsidRDefault="0049211D" w:rsidP="0049211D">
      <w:proofErr w:type="gramStart"/>
      <w:r w:rsidRPr="007B0A30">
        <w:t>National Assembly for Wales (NAfW), 2001.</w:t>
      </w:r>
      <w:proofErr w:type="gramEnd"/>
      <w:r w:rsidRPr="007B0A30">
        <w:t xml:space="preserve"> The Learning Country: A Comprehensive Education and Lifelong Learning Programme to 2010 in Wales. Cardiff: NAfW.</w:t>
      </w:r>
    </w:p>
    <w:p w:rsidR="0049211D" w:rsidRPr="007B0A30" w:rsidRDefault="0049211D" w:rsidP="0049211D">
      <w:r w:rsidRPr="0049211D">
        <w:rPr>
          <w:lang w:val="de-DE"/>
        </w:rPr>
        <w:t xml:space="preserve">Piesanen, E., Kiviniemi, U. &amp; Valkonen, S., 2007. </w:t>
      </w:r>
      <w:proofErr w:type="gramStart"/>
      <w:r w:rsidRPr="007B0A30">
        <w:t>Follow-up and Evaluation of the Teacher Education Development Programme.</w:t>
      </w:r>
      <w:proofErr w:type="gramEnd"/>
      <w:r w:rsidRPr="007B0A30">
        <w:t xml:space="preserve"> Continuing Teacher Education in 2005 and its Follow-up 1998-2005 by Fields and Teaching Subjects in Different Types of Educational Institutions. Occasional Papers 38, University of Jyväskylä, Institute for Educational Research.</w:t>
      </w:r>
    </w:p>
    <w:p w:rsidR="0049211D" w:rsidRPr="007B0A30" w:rsidRDefault="0049211D" w:rsidP="0049211D">
      <w:r w:rsidRPr="007B0A30">
        <w:t>Robinson, K., 1999. Culture, Creativity and the Young: Developing Public Policy. Cultural Policies Research and Development Unit Policy Note No. 2. Strasbourg: Council of Europe.</w:t>
      </w:r>
    </w:p>
    <w:p w:rsidR="0049211D" w:rsidRPr="007B0A30" w:rsidRDefault="0049211D" w:rsidP="0049211D">
      <w:proofErr w:type="gramStart"/>
      <w:r w:rsidRPr="007B0A30">
        <w:t>Sharp, C. &amp; Le Métais, J., 2000.</w:t>
      </w:r>
      <w:proofErr w:type="gramEnd"/>
      <w:r w:rsidRPr="007B0A30">
        <w:t xml:space="preserve"> The Arts, Creativity and Cultural Education: An International Perspective (International Review of Curriculum and Assessment Frameworks Project). London: Qualifications and Curriculum Authority.</w:t>
      </w:r>
    </w:p>
    <w:p w:rsidR="0049211D" w:rsidRPr="007B0A30" w:rsidRDefault="0049211D" w:rsidP="0049211D">
      <w:proofErr w:type="gramStart"/>
      <w:r w:rsidRPr="007B0A30">
        <w:t>Taggart, G., Whitby, K. &amp; Sharp, C., 2004.</w:t>
      </w:r>
      <w:proofErr w:type="gramEnd"/>
      <w:r w:rsidRPr="007B0A30">
        <w:t xml:space="preserve"> Curriculum and Progression in the Arts: An International Study. </w:t>
      </w:r>
      <w:proofErr w:type="gramStart"/>
      <w:r w:rsidRPr="007B0A30">
        <w:t>Final report (International Review of Curriculum and Assessment Frameworks Project).</w:t>
      </w:r>
      <w:proofErr w:type="gramEnd"/>
      <w:r w:rsidRPr="007B0A30">
        <w:t xml:space="preserve"> London: Qualifications and Curriculum Authority.</w:t>
      </w:r>
    </w:p>
    <w:p w:rsidR="0049211D" w:rsidRPr="007B0A30" w:rsidRDefault="0049211D" w:rsidP="0049211D">
      <w:proofErr w:type="gramStart"/>
      <w:r w:rsidRPr="007B0A30">
        <w:t>United Nations Educational, Scientific and Cultural Organisation (UNESCO), 1999.</w:t>
      </w:r>
      <w:proofErr w:type="gramEnd"/>
      <w:r w:rsidRPr="007B0A30">
        <w:t xml:space="preserve"> Appeal by the Director-General for the Promotion of Arts Education and Creativity at School as Part of the Construction of a Culture of Peace. Available at: http://portal.unesco.org/culture/en/ev.php-URL_ID=9747&amp;URL_DO=DO_P</w:t>
      </w:r>
      <w:r w:rsidR="00392E01">
        <w:t>RINTPAGE&amp;</w:t>
      </w:r>
      <w:r w:rsidR="00392E01">
        <w:br/>
        <w:t>URL_SECTION=201.html (</w:t>
      </w:r>
      <w:r w:rsidRPr="007B0A30">
        <w:t>Accessed 22 May 2009</w:t>
      </w:r>
      <w:r w:rsidR="00392E01">
        <w:t>)</w:t>
      </w:r>
      <w:r w:rsidRPr="007B0A30">
        <w:t>.</w:t>
      </w:r>
    </w:p>
    <w:p w:rsidR="0049211D" w:rsidRPr="007B0A30" w:rsidRDefault="0049211D" w:rsidP="0049211D">
      <w:proofErr w:type="gramStart"/>
      <w:r w:rsidRPr="007B0A30">
        <w:t>United Nations Educational, Scientific and Cultural Organisation (UNESCO), 2006.</w:t>
      </w:r>
      <w:proofErr w:type="gramEnd"/>
      <w:r w:rsidRPr="007B0A30">
        <w:t xml:space="preserve"> </w:t>
      </w:r>
      <w:proofErr w:type="gramStart"/>
      <w:r w:rsidRPr="007B0A30">
        <w:t>Road Map for Arts Education.</w:t>
      </w:r>
      <w:proofErr w:type="gramEnd"/>
      <w:r w:rsidRPr="007B0A30">
        <w:t xml:space="preserve"> The World Conference on Arts Education: Building Creative Capacities for the 21st Century, Lisbon, 6-9 March 2006.</w:t>
      </w:r>
    </w:p>
    <w:p w:rsidR="0049211D" w:rsidRPr="007B0A30" w:rsidRDefault="0049211D" w:rsidP="0049211D">
      <w:pPr>
        <w:sectPr w:rsidR="0049211D" w:rsidRPr="007B0A30" w:rsidSect="006A02B8">
          <w:footerReference w:type="even" r:id="rId26"/>
          <w:footerReference w:type="default" r:id="rId27"/>
          <w:pgSz w:w="16840" w:h="11907" w:orient="landscape" w:code="9"/>
          <w:pgMar w:top="1134" w:right="567" w:bottom="1134" w:left="567" w:header="2268" w:footer="709" w:gutter="0"/>
          <w:cols w:space="708"/>
          <w:titlePg/>
          <w:docGrid w:linePitch="360"/>
        </w:sectPr>
      </w:pPr>
    </w:p>
    <w:p w:rsidR="0049211D" w:rsidRPr="007B0A30" w:rsidRDefault="0049211D" w:rsidP="0049211D">
      <w:r w:rsidRPr="007B0A30">
        <w:t>&amp;1 Príloha</w:t>
      </w:r>
    </w:p>
    <w:p w:rsidR="0049211D" w:rsidRPr="007B0A30" w:rsidRDefault="0049211D" w:rsidP="0049211D">
      <w:r w:rsidRPr="007B0A30">
        <w:t>&amp;3 Zmeny v umeleckom vzdelávaní plánované alebo implementované po roku 2007</w:t>
      </w:r>
    </w:p>
    <w:p w:rsidR="0049211D" w:rsidRPr="007B0A30" w:rsidRDefault="0049211D" w:rsidP="0049211D">
      <w:r w:rsidRPr="007B0A30">
        <w:t>&amp;4 Belgicko – Francúzske spoločenstvo</w:t>
      </w:r>
    </w:p>
    <w:p w:rsidR="0049211D" w:rsidRPr="007B0A30" w:rsidRDefault="0049211D" w:rsidP="0049211D">
      <w:proofErr w:type="gramStart"/>
      <w:r w:rsidRPr="007B0A30">
        <w:t>Žiadne.</w:t>
      </w:r>
      <w:proofErr w:type="gramEnd"/>
      <w:r w:rsidRPr="007B0A30">
        <w:t xml:space="preserve">  </w:t>
      </w:r>
    </w:p>
    <w:p w:rsidR="0049211D" w:rsidRPr="007B0A30" w:rsidRDefault="0049211D" w:rsidP="0049211D">
      <w:r w:rsidRPr="007B0A30">
        <w:t xml:space="preserve">&amp;4 Belgicko – Nemecké spoločenstvo </w:t>
      </w:r>
    </w:p>
    <w:p w:rsidR="0049211D" w:rsidRPr="007B0A30" w:rsidRDefault="0049211D" w:rsidP="0049211D">
      <w:r w:rsidRPr="007B0A30">
        <w:t xml:space="preserve">V roku 2007 pracovná skupina zostavená z učiteľov zo všetkých sietí o vzdelávaní prehodnotila vzdelávacie kurikulum so zameraním </w:t>
      </w:r>
      <w:proofErr w:type="gramStart"/>
      <w:r w:rsidRPr="007B0A30">
        <w:t>na</w:t>
      </w:r>
      <w:proofErr w:type="gramEnd"/>
      <w:r w:rsidRPr="007B0A30">
        <w:t xml:space="preserve"> prenos zručností. Vypracovali rámcové programy (Rahmenpläne) pre každú disciplínu alebo skupinu disciplín, špecifikujúc zručnosti, ktoré sú potrebné rozvíjať a dosiahnuť </w:t>
      </w:r>
      <w:proofErr w:type="gramStart"/>
      <w:r w:rsidRPr="007B0A30">
        <w:t>na</w:t>
      </w:r>
      <w:proofErr w:type="gramEnd"/>
      <w:r w:rsidRPr="007B0A30">
        <w:t xml:space="preserve"> konci základného a na konci stredného vzdelávania. </w:t>
      </w:r>
      <w:proofErr w:type="gramStart"/>
      <w:r w:rsidRPr="007B0A30">
        <w:t>Tieto rámcové programy boli prezentované a prediskutované v parlamente, ktorý ich ratifikoval v júni 2008.</w:t>
      </w:r>
      <w:proofErr w:type="gramEnd"/>
      <w:r w:rsidRPr="007B0A30">
        <w:t xml:space="preserve"> </w:t>
      </w:r>
      <w:proofErr w:type="gramStart"/>
      <w:r w:rsidRPr="007B0A30">
        <w:t>Nahrádzajú dokument o kľúčových kompetenciách z roku 2002 (Schlüsselkompetenzen).</w:t>
      </w:r>
      <w:proofErr w:type="gramEnd"/>
      <w:r w:rsidRPr="007B0A30">
        <w:t xml:space="preserve"> Tento dokument je v podstate nová úvaha o vzdelávaní prostredníctvom rozvoja zručností, špecifikujúc plány a ciele, ktoré majú byť dosiahnuté v rôznych disciplínach, okrem iného v hudbe </w:t>
      </w:r>
      <w:proofErr w:type="gramStart"/>
      <w:r w:rsidRPr="007B0A30">
        <w:t>a</w:t>
      </w:r>
      <w:proofErr w:type="gramEnd"/>
      <w:r w:rsidRPr="007B0A30">
        <w:t xml:space="preserve"> umení. </w:t>
      </w:r>
    </w:p>
    <w:p w:rsidR="0049211D" w:rsidRPr="007B0A30" w:rsidRDefault="0049211D" w:rsidP="0049211D">
      <w:proofErr w:type="gramStart"/>
      <w:r w:rsidRPr="007B0A30">
        <w:t>Navyše, vláda plánuje preniesť Interkommunale Musikakademie der Deutschsprachigen Gemeinschaft (Akadémia múzických umení) do vzdelávacieho systému ako inštitúciu, ktorá ponúka nepovinné, diaľkové umelecké vzdelávanie, mimo tradičnej školskej organizácie.</w:t>
      </w:r>
      <w:proofErr w:type="gramEnd"/>
      <w:r w:rsidRPr="007B0A30">
        <w:t xml:space="preserve"> </w:t>
      </w:r>
      <w:proofErr w:type="gramStart"/>
      <w:r w:rsidRPr="007B0A30">
        <w:t>Hudba by mala byť jej hlavnou oblasťou činnosti, ale môžu byť vyučované aj divadlo a herecké umenie a periodicky aj tanec.</w:t>
      </w:r>
      <w:proofErr w:type="gramEnd"/>
    </w:p>
    <w:p w:rsidR="0049211D" w:rsidRPr="007B0A30" w:rsidRDefault="0049211D" w:rsidP="0049211D">
      <w:r w:rsidRPr="007B0A30">
        <w:t xml:space="preserve">Spolu s touto vyhláškou bol návrh o poskytovaní diaľkového umeleckého vzdelávania prediskutovaný </w:t>
      </w:r>
      <w:proofErr w:type="gramStart"/>
      <w:r w:rsidRPr="007B0A30">
        <w:t>a</w:t>
      </w:r>
      <w:proofErr w:type="gramEnd"/>
      <w:r w:rsidRPr="007B0A30">
        <w:t xml:space="preserve"> odhlasovaný v parlamente v prvom polroku 2009. </w:t>
      </w:r>
      <w:proofErr w:type="gramStart"/>
      <w:r w:rsidRPr="007B0A30">
        <w:t>Vláda chce konsolidovať právny základ hudobnej akadémie a predovšetkým poskytnúť väčšiu istotu zamestnania členom pedagogického zboru.</w:t>
      </w:r>
      <w:proofErr w:type="gramEnd"/>
      <w:r w:rsidRPr="007B0A30">
        <w:t xml:space="preserve"> </w:t>
      </w:r>
      <w:proofErr w:type="gramStart"/>
      <w:r w:rsidRPr="007B0A30">
        <w:t>Týmto spôsobom vláda dúfa, že podporí rozvoj synergie medzi pracovníkmi akadémie a pedagógmi, predovšetkým tými, ktorí vyučujú umelecké predmety.</w:t>
      </w:r>
      <w:proofErr w:type="gramEnd"/>
      <w:r w:rsidRPr="007B0A30">
        <w:t xml:space="preserve">  </w:t>
      </w:r>
    </w:p>
    <w:p w:rsidR="0049211D" w:rsidRPr="007B0A30" w:rsidRDefault="0049211D" w:rsidP="0049211D">
      <w:r w:rsidRPr="007B0A30">
        <w:t>&amp;4 Belgicko – Flámske spoločenstvo</w:t>
      </w:r>
    </w:p>
    <w:p w:rsidR="0049211D" w:rsidRPr="007B0A30" w:rsidRDefault="0049211D" w:rsidP="0049211D">
      <w:r w:rsidRPr="007B0A30">
        <w:t xml:space="preserve">Na základe Hodnotenia umeleckého, kultúrneho a dizajnérskeho vzdelávania </w:t>
      </w:r>
      <w:proofErr w:type="gramStart"/>
      <w:r w:rsidRPr="007B0A30">
        <w:t>vo</w:t>
      </w:r>
      <w:proofErr w:type="gramEnd"/>
      <w:r w:rsidRPr="007B0A30">
        <w:t xml:space="preserve"> Flámsku z roku 2006 sa pripravujú plány. Táto správa hodnotila súčasný stav umeleckého a kultúrneho vzdelávania </w:t>
      </w:r>
      <w:proofErr w:type="gramStart"/>
      <w:r w:rsidRPr="007B0A30">
        <w:t>vo</w:t>
      </w:r>
      <w:proofErr w:type="gramEnd"/>
      <w:r w:rsidRPr="007B0A30">
        <w:t xml:space="preserve"> Flámsku. Identifikuje nedostatky a silné stránky súčasného poskytovania vzdelávania a jeho implementácie, a dáva progresívne odporúčania </w:t>
      </w:r>
      <w:proofErr w:type="gramStart"/>
      <w:r w:rsidRPr="007B0A30">
        <w:t>na</w:t>
      </w:r>
      <w:proofErr w:type="gramEnd"/>
      <w:r w:rsidRPr="007B0A30">
        <w:t xml:space="preserve"> siedmich úrovniach:</w:t>
      </w:r>
    </w:p>
    <w:p w:rsidR="0049211D" w:rsidRPr="007B0A30" w:rsidRDefault="0049211D" w:rsidP="0049211D">
      <w:r w:rsidRPr="007B0A30">
        <w:t>&amp;Q Politika a implementácia</w:t>
      </w:r>
    </w:p>
    <w:p w:rsidR="0049211D" w:rsidRPr="007B0A30" w:rsidRDefault="0049211D" w:rsidP="0049211D">
      <w:r w:rsidRPr="007B0A30">
        <w:t>&amp;Q Rozpočty a financie</w:t>
      </w:r>
    </w:p>
    <w:p w:rsidR="0049211D" w:rsidRPr="007B0A30" w:rsidRDefault="0049211D" w:rsidP="0049211D">
      <w:r w:rsidRPr="007B0A30">
        <w:t xml:space="preserve">&amp;Q Spolupráca a podieľanie </w:t>
      </w:r>
      <w:proofErr w:type="gramStart"/>
      <w:r w:rsidRPr="007B0A30">
        <w:t>sa</w:t>
      </w:r>
      <w:proofErr w:type="gramEnd"/>
      <w:r w:rsidRPr="007B0A30">
        <w:t xml:space="preserve"> </w:t>
      </w:r>
    </w:p>
    <w:p w:rsidR="0049211D" w:rsidRPr="007B0A30" w:rsidRDefault="0049211D" w:rsidP="0049211D">
      <w:r w:rsidRPr="007B0A30">
        <w:t>&amp;Q Diaľkové umelecké vzdelávanie (DUV)</w:t>
      </w:r>
    </w:p>
    <w:p w:rsidR="0049211D" w:rsidRPr="007B0A30" w:rsidRDefault="0049211D" w:rsidP="0049211D">
      <w:r w:rsidRPr="007B0A30">
        <w:t>&amp;Q Dostupnosť</w:t>
      </w:r>
    </w:p>
    <w:p w:rsidR="0049211D" w:rsidRPr="007B0A30" w:rsidRDefault="0049211D" w:rsidP="0049211D">
      <w:r w:rsidRPr="007B0A30">
        <w:t>&amp;Q Odborný rozvoj a vzdelávanie učiteľov</w:t>
      </w:r>
    </w:p>
    <w:p w:rsidR="0049211D" w:rsidRPr="007B0A30" w:rsidRDefault="0049211D" w:rsidP="0049211D">
      <w:r w:rsidRPr="007B0A30">
        <w:t>&amp;Q Hodnotenie a evalvácia</w:t>
      </w:r>
    </w:p>
    <w:p w:rsidR="0049211D" w:rsidRPr="007B0A30" w:rsidRDefault="0049211D" w:rsidP="0049211D">
      <w:r w:rsidRPr="007B0A30">
        <w:t xml:space="preserve">Na týchto rôznych úrovniach </w:t>
      </w:r>
      <w:proofErr w:type="gramStart"/>
      <w:r w:rsidRPr="007B0A30">
        <w:t>sa</w:t>
      </w:r>
      <w:proofErr w:type="gramEnd"/>
      <w:r w:rsidRPr="007B0A30">
        <w:t xml:space="preserve"> pripravujú zmeny na implementáciu v nasledujúcich rokoch. Špecifické zmeny zahŕňajú nový medzikurikulárny rámec pre stredoškolské vzdelávanie, ktorý bude implementovaný </w:t>
      </w:r>
      <w:proofErr w:type="gramStart"/>
      <w:r w:rsidRPr="007B0A30">
        <w:t>od</w:t>
      </w:r>
      <w:proofErr w:type="gramEnd"/>
      <w:r w:rsidRPr="007B0A30">
        <w:t xml:space="preserve"> septembra 2010. </w:t>
      </w:r>
      <w:proofErr w:type="gramStart"/>
      <w:r w:rsidRPr="007B0A30">
        <w:t>V novom kurikulu je venovaná špecifická pozornosť kľúčovým kompetenciám.</w:t>
      </w:r>
      <w:proofErr w:type="gramEnd"/>
      <w:r w:rsidRPr="007B0A30">
        <w:t xml:space="preserve"> Ciele umeleckého a kultúrneho rozvoja budú integrované v rôznych </w:t>
      </w:r>
      <w:proofErr w:type="gramStart"/>
      <w:r w:rsidRPr="007B0A30">
        <w:t>kontextoch ,</w:t>
      </w:r>
      <w:proofErr w:type="gramEnd"/>
      <w:r w:rsidRPr="007B0A30">
        <w:t xml:space="preserve"> berúc do úvahy východiskové ciele flámskej vzdelávacej politiky (fakt, že vzdelávanie sa má zamerať na osobný rozvoj vo vzťahu k ostatným a na schopnosť participovať na multikultúrnej, demokratickej spoločnosti). </w:t>
      </w:r>
    </w:p>
    <w:p w:rsidR="0049211D" w:rsidRPr="007B0A30" w:rsidRDefault="0049211D" w:rsidP="0049211D">
      <w:r w:rsidRPr="007B0A30">
        <w:t>&amp;4 Bulharsko</w:t>
      </w:r>
    </w:p>
    <w:p w:rsidR="0049211D" w:rsidRPr="007B0A30" w:rsidRDefault="0049211D" w:rsidP="0049211D">
      <w:proofErr w:type="gramStart"/>
      <w:r w:rsidRPr="007B0A30">
        <w:t>Prebieha diskusia o možných dodatkoch ku kurikulám a sylabám umeleckého a kultúrneho vzdelávania.</w:t>
      </w:r>
      <w:proofErr w:type="gramEnd"/>
      <w:r w:rsidRPr="007B0A30">
        <w:t xml:space="preserve"> </w:t>
      </w:r>
      <w:proofErr w:type="gramStart"/>
      <w:r w:rsidRPr="007B0A30">
        <w:t>Účelom tejto diskusie je preskúmať možnosti posilnenia kultúrneho a kreatívneho rozmeru vzdelávania v budúcnosti, nielen v rámci umeleckých školských predmetov, ale taktiež, pokiaľ je to možné, v ostatnom kurikulu.</w:t>
      </w:r>
      <w:proofErr w:type="gramEnd"/>
    </w:p>
    <w:p w:rsidR="0049211D" w:rsidRPr="007B0A30" w:rsidRDefault="0049211D" w:rsidP="0049211D">
      <w:r w:rsidRPr="007B0A30">
        <w:t>&amp;4 Česká republika</w:t>
      </w:r>
    </w:p>
    <w:p w:rsidR="0049211D" w:rsidRPr="007B0A30" w:rsidRDefault="0049211D" w:rsidP="0049211D">
      <w:r w:rsidRPr="007B0A30">
        <w:t xml:space="preserve">V roku 2004 začala celková kurikulárna reforma, ktorá má byť úplne implementovaná </w:t>
      </w:r>
      <w:proofErr w:type="gramStart"/>
      <w:r w:rsidRPr="007B0A30">
        <w:t>na</w:t>
      </w:r>
      <w:proofErr w:type="gramEnd"/>
      <w:r w:rsidRPr="007B0A30">
        <w:t xml:space="preserve"> všetkých úrovniach povinného vzdelávania do školského roku 2011/12. Zákon o vzdelávaní z roku 2004 definuje základné ciele a princípy vzdelávania a predstavuje nový prístup ku kurikulu: dvojstupňový kurikulárny systém </w:t>
      </w:r>
      <w:proofErr w:type="gramStart"/>
      <w:r w:rsidRPr="007B0A30">
        <w:t>na</w:t>
      </w:r>
      <w:proofErr w:type="gramEnd"/>
      <w:r w:rsidRPr="007B0A30">
        <w:t xml:space="preserve"> národnej a školskej úrovni. Na národnej úrovni definuje rámcový vzdelávací program pre základné vzdelávanie (RVP ZV) deväť hlavných vzdelávacích oblastí (zahŕňa vzdelávaciu oblasť umenie a kultúra), pozostávajúce z jedného alebo viacerých vzdelávacích odborov, medzikurikulárnych tém a doplnkových vzdelávacích odborov. Ďalej špecifikuje povinný obsah odborov, t.j. kurikulum </w:t>
      </w:r>
      <w:proofErr w:type="gramStart"/>
      <w:r w:rsidRPr="007B0A30">
        <w:t>a</w:t>
      </w:r>
      <w:proofErr w:type="gramEnd"/>
      <w:r w:rsidRPr="007B0A30">
        <w:t xml:space="preserve"> očakávané výstupy. Na školskej úrovni si školy tvoria vlastné školské vzdelávacie programy </w:t>
      </w:r>
      <w:proofErr w:type="gramStart"/>
      <w:r w:rsidRPr="007B0A30">
        <w:t>na</w:t>
      </w:r>
      <w:proofErr w:type="gramEnd"/>
      <w:r w:rsidRPr="007B0A30">
        <w:t xml:space="preserve"> základe RVP ZV.</w:t>
      </w:r>
    </w:p>
    <w:p w:rsidR="0049211D" w:rsidRPr="007B0A30" w:rsidRDefault="0049211D" w:rsidP="0049211D">
      <w:r w:rsidRPr="007B0A30">
        <w:t>&amp;4 Dánsko</w:t>
      </w:r>
    </w:p>
    <w:p w:rsidR="0049211D" w:rsidRPr="007B0A30" w:rsidRDefault="0049211D" w:rsidP="0049211D">
      <w:proofErr w:type="gramStart"/>
      <w:r w:rsidRPr="007B0A30">
        <w:t>Žiadne.</w:t>
      </w:r>
      <w:proofErr w:type="gramEnd"/>
    </w:p>
    <w:p w:rsidR="0049211D" w:rsidRPr="007B0A30" w:rsidRDefault="0049211D" w:rsidP="0049211D">
      <w:proofErr w:type="gramStart"/>
      <w:r w:rsidRPr="007B0A30">
        <w:t>Avšak jednou z úloh siete pre deti a kultúru (Network for Children and Culture) je pripraviť návrhy a skvalitnenie pre umelecké kurzy v školách, rozvíjať učebný materiál vychádzajúci z existujúceho múzejného kultúrneho vzdelávania a z digitalizácie prístupu k múzejným zbierkam.</w:t>
      </w:r>
      <w:proofErr w:type="gramEnd"/>
      <w:r w:rsidRPr="007B0A30">
        <w:t xml:space="preserve"> To môže uľahčiť školám začleniť v budúcnosti tieto materiály do ich výučby.</w:t>
      </w:r>
    </w:p>
    <w:p w:rsidR="0049211D" w:rsidRPr="007B0A30" w:rsidRDefault="0049211D" w:rsidP="0049211D">
      <w:r w:rsidRPr="007B0A30">
        <w:t>&amp;4 Nemecko</w:t>
      </w:r>
    </w:p>
    <w:p w:rsidR="0049211D" w:rsidRPr="007B0A30" w:rsidRDefault="0049211D" w:rsidP="0049211D">
      <w:proofErr w:type="gramStart"/>
      <w:r w:rsidRPr="007B0A30">
        <w:t>Žiadne.</w:t>
      </w:r>
      <w:proofErr w:type="gramEnd"/>
    </w:p>
    <w:p w:rsidR="0049211D" w:rsidRPr="007B0A30" w:rsidRDefault="0049211D" w:rsidP="0049211D">
      <w:r w:rsidRPr="007B0A30">
        <w:t>&amp;4 Estónsko</w:t>
      </w:r>
    </w:p>
    <w:p w:rsidR="0049211D" w:rsidRPr="007B0A30" w:rsidRDefault="0049211D" w:rsidP="0049211D">
      <w:r w:rsidRPr="007B0A30">
        <w:t xml:space="preserve">Pripravuje </w:t>
      </w:r>
      <w:proofErr w:type="gramStart"/>
      <w:r w:rsidRPr="007B0A30">
        <w:t>sa</w:t>
      </w:r>
      <w:proofErr w:type="gramEnd"/>
      <w:r w:rsidRPr="007B0A30">
        <w:t xml:space="preserve"> nová verzia národného kurikula, jej implementácia by mala začať od septembra 2010. Nové kurikulum by malo vytvoriť lepšie prepojenia medzi všeobecnými cieľmi, vyučovacími cieľmi predmetov </w:t>
      </w:r>
      <w:proofErr w:type="gramStart"/>
      <w:r w:rsidRPr="007B0A30">
        <w:t>a</w:t>
      </w:r>
      <w:proofErr w:type="gramEnd"/>
      <w:r w:rsidRPr="007B0A30">
        <w:t xml:space="preserve"> učebnými výsledkami. </w:t>
      </w:r>
      <w:proofErr w:type="gramStart"/>
      <w:r w:rsidRPr="007B0A30">
        <w:t>Taktiež by malo integrovať rôzne predmety.</w:t>
      </w:r>
      <w:proofErr w:type="gramEnd"/>
      <w:r w:rsidRPr="007B0A30">
        <w:t xml:space="preserve"> </w:t>
      </w:r>
      <w:proofErr w:type="gramStart"/>
      <w:r w:rsidRPr="007B0A30">
        <w:t>Vo</w:t>
      </w:r>
      <w:proofErr w:type="gramEnd"/>
      <w:r w:rsidRPr="007B0A30">
        <w:t xml:space="preserve"> výtvarnom umení je cieľom lepšie využiť dejiny umenia ako emocionálny, motivačný štartovací základ pre praktickú umeleckú prácu žiakov. Zdôrazňuje </w:t>
      </w:r>
      <w:proofErr w:type="gramStart"/>
      <w:r w:rsidRPr="007B0A30">
        <w:t>sa</w:t>
      </w:r>
      <w:proofErr w:type="gramEnd"/>
      <w:r w:rsidRPr="007B0A30">
        <w:t xml:space="preserve"> rozvoj kreatívneho a analytického myslenia a podporuje sa používanie moderných techník a prostriedkov. V hudbe je cieľom klásť väčší dôraz </w:t>
      </w:r>
      <w:proofErr w:type="gramStart"/>
      <w:r w:rsidRPr="007B0A30">
        <w:t>na</w:t>
      </w:r>
      <w:proofErr w:type="gramEnd"/>
      <w:r w:rsidRPr="007B0A30">
        <w:t xml:space="preserve"> praktické kreatívne aktivity (spev, komponovanie, improvizáciu).</w:t>
      </w:r>
    </w:p>
    <w:p w:rsidR="0049211D" w:rsidRPr="007B0A30" w:rsidRDefault="0049211D" w:rsidP="0049211D">
      <w:r w:rsidRPr="007B0A30">
        <w:t>&amp;4 Írsko</w:t>
      </w:r>
    </w:p>
    <w:p w:rsidR="0049211D" w:rsidRPr="007B0A30" w:rsidRDefault="0049211D" w:rsidP="0049211D">
      <w:r w:rsidRPr="007B0A30">
        <w:t xml:space="preserve">Úroveň základného vzdelávania: Zmeny v umeleckom kurikulu </w:t>
      </w:r>
      <w:proofErr w:type="gramStart"/>
      <w:r w:rsidRPr="007B0A30">
        <w:t>na</w:t>
      </w:r>
      <w:proofErr w:type="gramEnd"/>
      <w:r w:rsidRPr="007B0A30">
        <w:t xml:space="preserve"> tejto úrovni sa priebežne implementujú. </w:t>
      </w:r>
    </w:p>
    <w:p w:rsidR="0049211D" w:rsidRPr="007B0A30" w:rsidRDefault="0049211D" w:rsidP="0049211D">
      <w:r w:rsidRPr="007B0A30">
        <w:t xml:space="preserve">Od roku 2003 predstavilo ministerstvo školstva a vedy celoškolský hodnotiaci model inšpekcie na základe fázového postupu pre základné školy, ktorý zahŕňa kvalitu hodnotenia počas školy, ako kľúčovú </w:t>
      </w:r>
      <w:proofErr w:type="gramStart"/>
      <w:r w:rsidRPr="007B0A30">
        <w:t>oblasť  verejného</w:t>
      </w:r>
      <w:proofErr w:type="gramEnd"/>
      <w:r w:rsidRPr="007B0A30">
        <w:t xml:space="preserve"> záujmu. </w:t>
      </w:r>
      <w:proofErr w:type="gramStart"/>
      <w:r w:rsidRPr="007B0A30">
        <w:t>Inšpekčné správy pripomienkujú metódy a frekvenciu hodnotenia, primeranosť hodnotiacich postupov, zaznamenávanie a komunikáciu informácií o hodnotení.</w:t>
      </w:r>
      <w:proofErr w:type="gramEnd"/>
      <w:r w:rsidRPr="007B0A30">
        <w:t xml:space="preserve"> Inšpektori berú do úvahy hodnotiace postupy používané v rôznych fázach umeleckého vzdelávania, keď vyhodnocujú a robia záznamy o kvalite hodnotenia v jednotlivých školách.</w:t>
      </w:r>
    </w:p>
    <w:p w:rsidR="0049211D" w:rsidRPr="007B0A30" w:rsidRDefault="0049211D" w:rsidP="0049211D">
      <w:r w:rsidRPr="007B0A30">
        <w:t>Očakáva sa, že celoškolské hodnotenie a dostupnosť poskytovanej podpory pre školy, ako je sústavný odborný rozvoj učiteľov a skvalitňovanie materiálov o hodnotení, budú pokračovať v reformovaní a zlepšovaní praxe v hodnotení a zabezpečovaní kvality v umeleckom vzdelávaní.</w:t>
      </w:r>
    </w:p>
    <w:p w:rsidR="0049211D" w:rsidRPr="007B0A30" w:rsidRDefault="0049211D" w:rsidP="0049211D">
      <w:r w:rsidRPr="007B0A30">
        <w:t xml:space="preserve">Stredoškolská úroveň výtvarné umenie: v juniorskom cykle boli prehodnotené sylaby, ktoré sú pripravené </w:t>
      </w:r>
      <w:proofErr w:type="gramStart"/>
      <w:r w:rsidRPr="007B0A30">
        <w:t>na</w:t>
      </w:r>
      <w:proofErr w:type="gramEnd"/>
      <w:r w:rsidRPr="007B0A30">
        <w:t xml:space="preserve"> implementáciu. Prepracované sylaby kladú väčší dôraz </w:t>
      </w:r>
      <w:proofErr w:type="gramStart"/>
      <w:r w:rsidRPr="007B0A30">
        <w:t>na</w:t>
      </w:r>
      <w:proofErr w:type="gramEnd"/>
      <w:r w:rsidRPr="007B0A30">
        <w:t xml:space="preserve"> kultúrne aspekty kurzu výtvarného umenia. Požiadavky </w:t>
      </w:r>
      <w:proofErr w:type="gramStart"/>
      <w:r w:rsidRPr="007B0A30">
        <w:t>na</w:t>
      </w:r>
      <w:proofErr w:type="gramEnd"/>
      <w:r w:rsidRPr="007B0A30">
        <w:t xml:space="preserve"> hodnotenie sa prehodnocujú súčasne.</w:t>
      </w:r>
    </w:p>
    <w:p w:rsidR="0049211D" w:rsidRPr="007B0A30" w:rsidRDefault="0049211D" w:rsidP="0049211D">
      <w:r w:rsidRPr="007B0A30">
        <w:t xml:space="preserve">V seniorskom cykle boli sylaby výtvarnej výchovy </w:t>
      </w:r>
      <w:proofErr w:type="gramStart"/>
      <w:r w:rsidRPr="007B0A30">
        <w:t>na</w:t>
      </w:r>
      <w:proofErr w:type="gramEnd"/>
      <w:r w:rsidRPr="007B0A30">
        <w:t xml:space="preserve"> maturitné vysvedčenie prepracované a očakáva sa ich implementácia. </w:t>
      </w:r>
      <w:proofErr w:type="gramStart"/>
      <w:r w:rsidRPr="007B0A30">
        <w:t>Ak</w:t>
      </w:r>
      <w:proofErr w:type="gramEnd"/>
      <w:r w:rsidRPr="007B0A30">
        <w:t xml:space="preserve"> budú implementované, očakáva sa rozvoj práce s IKT vo výtvarnom umení.</w:t>
      </w:r>
    </w:p>
    <w:p w:rsidR="0049211D" w:rsidRPr="007B0A30" w:rsidRDefault="0049211D" w:rsidP="0049211D">
      <w:r w:rsidRPr="007B0A30">
        <w:t xml:space="preserve">Stredoškolská úroveň hudobná výchova: v juniorskom cykle, podobne ako vo </w:t>
      </w:r>
      <w:proofErr w:type="gramStart"/>
      <w:r w:rsidRPr="007B0A30">
        <w:t>výtvarnom  umení</w:t>
      </w:r>
      <w:proofErr w:type="gramEnd"/>
      <w:r w:rsidRPr="007B0A30">
        <w:t xml:space="preserve">, boli sylaby prepracované, a očakáva sa ich implementácia. Podpora pre používanie IKT </w:t>
      </w:r>
      <w:proofErr w:type="gramStart"/>
      <w:r w:rsidRPr="007B0A30">
        <w:t>vo</w:t>
      </w:r>
      <w:proofErr w:type="gramEnd"/>
      <w:r w:rsidRPr="007B0A30">
        <w:t xml:space="preserve"> výučbe a učení hudby/hudobnej techniky sa plánuje Národným centrom pre technológie vo vzdelávaní (Centre for Technology in Education - NCTE) v blízkej budúcnosti. </w:t>
      </w:r>
      <w:proofErr w:type="gramStart"/>
      <w:r w:rsidRPr="007B0A30">
        <w:t>Ešte nebol potvrdený časový rámec.</w:t>
      </w:r>
      <w:proofErr w:type="gramEnd"/>
      <w:r w:rsidRPr="007B0A30">
        <w:t xml:space="preserve"> </w:t>
      </w:r>
    </w:p>
    <w:p w:rsidR="0049211D" w:rsidRPr="007B0A30" w:rsidRDefault="0049211D" w:rsidP="0049211D">
      <w:r w:rsidRPr="007B0A30">
        <w:t>&amp;4 Grécko</w:t>
      </w:r>
    </w:p>
    <w:p w:rsidR="0049211D" w:rsidRPr="007B0A30" w:rsidRDefault="0049211D" w:rsidP="0049211D">
      <w:r w:rsidRPr="007B0A30">
        <w:t xml:space="preserve">Čo sa týka umeleckého a kultúrneho vzdelávania, </w:t>
      </w:r>
      <w:proofErr w:type="gramStart"/>
      <w:r w:rsidRPr="007B0A30">
        <w:t>odporúčania  sú</w:t>
      </w:r>
      <w:proofErr w:type="gramEnd"/>
      <w:r w:rsidRPr="007B0A30">
        <w:t xml:space="preserve"> vypracované. Tieto odporúčania zahŕňajú: vytvorenie umeleckých laboratórií v každej škole, založenie celodenných umeleckých základných škôl </w:t>
      </w:r>
      <w:proofErr w:type="gramStart"/>
      <w:r w:rsidRPr="007B0A30">
        <w:t>a</w:t>
      </w:r>
      <w:proofErr w:type="gramEnd"/>
      <w:r w:rsidRPr="007B0A30">
        <w:t xml:space="preserve"> expanziu a ďalší rozvoj umeleckých škôl. </w:t>
      </w:r>
    </w:p>
    <w:p w:rsidR="0049211D" w:rsidRPr="007B0A30" w:rsidRDefault="0049211D" w:rsidP="0049211D">
      <w:r w:rsidRPr="007B0A30">
        <w:t>Distribúcia nových vyučovacích materiálov v roku 2000 (</w:t>
      </w:r>
      <w:proofErr w:type="gramStart"/>
      <w:r w:rsidRPr="007B0A30">
        <w:t>umožňuje  interaktívnejšie</w:t>
      </w:r>
      <w:proofErr w:type="gramEnd"/>
      <w:r w:rsidRPr="007B0A30">
        <w:t xml:space="preserve"> učenie) pre každý umelecký predmet osobitne, prispela k preskúmaniu štandardov hodnotenia.</w:t>
      </w:r>
    </w:p>
    <w:p w:rsidR="0049211D" w:rsidRPr="007B0A30" w:rsidRDefault="0049211D" w:rsidP="0049211D">
      <w:r w:rsidRPr="007B0A30">
        <w:t>&amp;4 Španielsko</w:t>
      </w:r>
    </w:p>
    <w:p w:rsidR="0049211D" w:rsidRPr="007B0A30" w:rsidRDefault="0049211D" w:rsidP="0049211D">
      <w:proofErr w:type="gramStart"/>
      <w:r w:rsidRPr="007B0A30">
        <w:t>Nová organizácia a predpisy vyplývajúce zo zákona o vzdelávaní z roku 2006 (LOE) sú v procese implementácie.</w:t>
      </w:r>
      <w:proofErr w:type="gramEnd"/>
      <w:r w:rsidRPr="007B0A30">
        <w:t xml:space="preserve"> </w:t>
      </w:r>
    </w:p>
    <w:p w:rsidR="0049211D" w:rsidRPr="007B0A30" w:rsidRDefault="0049211D" w:rsidP="0049211D">
      <w:r w:rsidRPr="007B0A30">
        <w:t xml:space="preserve">Podľa tohto zákona, kritériá hodnotenia pre každú oblasť štúdia sú definované cyklom </w:t>
      </w:r>
      <w:proofErr w:type="gramStart"/>
      <w:r w:rsidRPr="007B0A30">
        <w:t>na</w:t>
      </w:r>
      <w:proofErr w:type="gramEnd"/>
      <w:r w:rsidRPr="007B0A30">
        <w:t xml:space="preserve"> úrovni základného vzdelávania. Na povinnej stredoškolskej úrovni sú kritériá hodnotenia výtvarnej výchovy a hudobnej výchovy rovnaké pre prvé tri ročníky </w:t>
      </w:r>
      <w:proofErr w:type="gramStart"/>
      <w:r w:rsidRPr="007B0A30">
        <w:t>a</w:t>
      </w:r>
      <w:proofErr w:type="gramEnd"/>
      <w:r w:rsidRPr="007B0A30">
        <w:t xml:space="preserve"> odlišné pre štvrtý ročník. Kritériá hodnotenia pre telesnú výchovu </w:t>
      </w:r>
      <w:proofErr w:type="gramStart"/>
      <w:r w:rsidRPr="007B0A30">
        <w:t>sa</w:t>
      </w:r>
      <w:proofErr w:type="gramEnd"/>
      <w:r w:rsidRPr="007B0A30">
        <w:t xml:space="preserve"> určujú pre každý rok.</w:t>
      </w:r>
    </w:p>
    <w:p w:rsidR="0049211D" w:rsidRPr="007B0A30" w:rsidRDefault="0049211D" w:rsidP="0049211D">
      <w:r w:rsidRPr="007B0A30">
        <w:t xml:space="preserve">Ohľadne monitorovania štandardov, </w:t>
      </w:r>
      <w:proofErr w:type="gramStart"/>
      <w:r w:rsidRPr="007B0A30">
        <w:t>od</w:t>
      </w:r>
      <w:proofErr w:type="gramEnd"/>
      <w:r w:rsidRPr="007B0A30">
        <w:t xml:space="preserve"> školského roku 2008/09, uskutočňuje Inštitút pre hodnotenie a relevantné orgány autonómnych spoločenstiev celkové diagnostické hodnotenia za účelom zhromaždenia reprezentatívnych údajov o študentoch a školách na regionálnej a národnej úrovni. “Kultúrne </w:t>
      </w:r>
      <w:proofErr w:type="gramStart"/>
      <w:r w:rsidRPr="007B0A30">
        <w:t>a</w:t>
      </w:r>
      <w:proofErr w:type="gramEnd"/>
      <w:r w:rsidRPr="007B0A30">
        <w:t xml:space="preserve"> umelecké kompetencie” nie sú v týchto hodnoteniach zahrnuté.</w:t>
      </w:r>
    </w:p>
    <w:p w:rsidR="0049211D" w:rsidRPr="007B0A30" w:rsidRDefault="0049211D" w:rsidP="0049211D">
      <w:r w:rsidRPr="007B0A30">
        <w:t>&amp;4 Francúzsko</w:t>
      </w:r>
    </w:p>
    <w:p w:rsidR="0049211D" w:rsidRPr="007B0A30" w:rsidRDefault="0049211D" w:rsidP="0049211D">
      <w:r w:rsidRPr="007B0A30">
        <w:t xml:space="preserve">Vo Francúzsku postupujú súčasné a budúce reformy zamerané </w:t>
      </w:r>
      <w:proofErr w:type="gramStart"/>
      <w:r w:rsidRPr="007B0A30">
        <w:t>na</w:t>
      </w:r>
      <w:proofErr w:type="gramEnd"/>
      <w:r w:rsidRPr="007B0A30">
        <w:t xml:space="preserve"> rozvoj umeleckého vzdelávania dvoma smermi: prvý, o čom sa vyučuje a druhý o mimoškolskej činnosti. V prvom smere </w:t>
      </w:r>
      <w:proofErr w:type="gramStart"/>
      <w:r w:rsidRPr="007B0A30">
        <w:t>sa</w:t>
      </w:r>
      <w:proofErr w:type="gramEnd"/>
      <w:r w:rsidRPr="007B0A30">
        <w:t xml:space="preserve"> vyučovanie dejín umenia stalo povinné na úrovni ISCED 1 od septembra 2008 a bude takisto povinné na úrovni ISCED 2 od septembra 2009. Táto nová vyučovacia prax stavia </w:t>
      </w:r>
      <w:proofErr w:type="gramStart"/>
      <w:r w:rsidRPr="007B0A30">
        <w:t>na</w:t>
      </w:r>
      <w:proofErr w:type="gramEnd"/>
      <w:r w:rsidRPr="007B0A30">
        <w:t xml:space="preserve"> umeleckých a kultúrnych dimenziách uskutočňovaných rôznymi predmetmi, či patria k prírodným vedám, sociálnym vedám, športovým alebo technológiám. Následne, kurikulum každej z týchto disciplín </w:t>
      </w:r>
      <w:proofErr w:type="gramStart"/>
      <w:r w:rsidRPr="007B0A30">
        <w:t>sa</w:t>
      </w:r>
      <w:proofErr w:type="gramEnd"/>
      <w:r w:rsidRPr="007B0A30">
        <w:t xml:space="preserve"> mení, špecifikujúc formu a podstatu vlastných príspevkov. </w:t>
      </w:r>
      <w:proofErr w:type="gramStart"/>
      <w:r w:rsidRPr="007B0A30">
        <w:t>Táto zmena kurikula dopĺňa už existujúce predmety umeleckého a kultúrneho vzdelávania (plastické a výtvarné umenie rovnako ako hudobná výchova).</w:t>
      </w:r>
      <w:proofErr w:type="gramEnd"/>
      <w:r w:rsidRPr="007B0A30">
        <w:t xml:space="preserve"> S touto zmenou chce štát rozvíjať kultúrnu dimenziu povinného všeobecného vzdelávania, priniesť umelecké odkazy spojené s históriou v rôznych umeleckých sférach a dať všetkým žiakom kultúrny základ tvorený odkazmi </w:t>
      </w:r>
      <w:proofErr w:type="gramStart"/>
      <w:r w:rsidRPr="007B0A30">
        <w:t>na</w:t>
      </w:r>
      <w:proofErr w:type="gramEnd"/>
      <w:r w:rsidRPr="007B0A30">
        <w:t xml:space="preserve"> umelecké diela. </w:t>
      </w:r>
      <w:proofErr w:type="gramStart"/>
      <w:r w:rsidRPr="007B0A30">
        <w:t>V mimoškolskej činnosti výchovný sprievodný program, ako nový prostriedok štruktúruje a rozvíja rôzne už uskutočnené akcie.</w:t>
      </w:r>
      <w:proofErr w:type="gramEnd"/>
      <w:r w:rsidRPr="007B0A30">
        <w:t xml:space="preserve"> Spolieha </w:t>
      </w:r>
      <w:proofErr w:type="gramStart"/>
      <w:r w:rsidRPr="007B0A30">
        <w:t>sa</w:t>
      </w:r>
      <w:proofErr w:type="gramEnd"/>
      <w:r w:rsidRPr="007B0A30">
        <w:t xml:space="preserve"> na záväzky učiteľov a mobilizuje množstvo partnerstiev s externými inštitúciami a združeniami. V súlade s týmto programom môžu žiaci dobrovoľne profitovať z individualizovanej pomoci pri domácich úlohách rovnako, ako </w:t>
      </w:r>
      <w:proofErr w:type="gramStart"/>
      <w:r w:rsidRPr="007B0A30">
        <w:t>sa</w:t>
      </w:r>
      <w:proofErr w:type="gramEnd"/>
      <w:r w:rsidRPr="007B0A30">
        <w:t xml:space="preserve"> zúčastňovať športových, umeleckých a kultúrnych podujatí štyrikrát do týždňa, dve hodiny po skončení vyučovania. Táto zmena už bola implementovaná v septembri 2007 na úrovni ISCED 2 a od roku 2008 tiež na úrovni ISCED 1 iba pre niektorých žiakov (tých, ktorí sú zapísaní v školách, ktoré sú súčasťou siete akademickej úspešnosti, ak to schválil vedúci školský predstaviteľ chief education officer).   </w:t>
      </w:r>
    </w:p>
    <w:p w:rsidR="0049211D" w:rsidRPr="007B0A30" w:rsidRDefault="0049211D" w:rsidP="0049211D">
      <w:r w:rsidRPr="007B0A30">
        <w:t>&amp;4 Taliansko</w:t>
      </w:r>
    </w:p>
    <w:p w:rsidR="0049211D" w:rsidRPr="007B0A30" w:rsidRDefault="0049211D" w:rsidP="0049211D">
      <w:proofErr w:type="gramStart"/>
      <w:r w:rsidRPr="007B0A30">
        <w:t>Od</w:t>
      </w:r>
      <w:proofErr w:type="gramEnd"/>
      <w:r w:rsidRPr="007B0A30">
        <w:t xml:space="preserve"> školského roku 2009/10, v súlade so zákonom č. 53 z 28. marca 2003 bude pokračovať definitívna implementácia reformy školských predpisov a programov, podľa ktorej sa budú systematicky požadovať “smernice pre kurikulum” pre prvý cyklus vzdelávania (úroveň ISCED 1-2) a technický dokument “Cultural axes” pre prvé dva ročníky na vyššej strednej škole (14-16 rokov), úroveň ISCED 3.</w:t>
      </w:r>
    </w:p>
    <w:p w:rsidR="0049211D" w:rsidRPr="007B0A30" w:rsidRDefault="0049211D" w:rsidP="0049211D">
      <w:proofErr w:type="gramStart"/>
      <w:r w:rsidRPr="007B0A30">
        <w:t>Taliansky parlament schválil v októbri 2008 návrh zákona (zákonné nariadenie č. 137/2008 – o “Urgentných opatreniach týkajúce sa vzdelávania a univerzít”), reformujúci taliansky národný školský systém.</w:t>
      </w:r>
      <w:proofErr w:type="gramEnd"/>
      <w:r w:rsidRPr="007B0A30">
        <w:t xml:space="preserve"> Návrh predpokladá významné zmeny </w:t>
      </w:r>
      <w:proofErr w:type="gramStart"/>
      <w:r w:rsidRPr="007B0A30">
        <w:t>vo</w:t>
      </w:r>
      <w:proofErr w:type="gramEnd"/>
      <w:r w:rsidRPr="007B0A30">
        <w:t xml:space="preserve"> verejnom školstve, špeciálne na úrovni základných škôl.</w:t>
      </w:r>
    </w:p>
    <w:p w:rsidR="0049211D" w:rsidRPr="007B0A30" w:rsidRDefault="0049211D" w:rsidP="0049211D">
      <w:r w:rsidRPr="007B0A30">
        <w:t xml:space="preserve">V základných školách </w:t>
      </w:r>
      <w:proofErr w:type="gramStart"/>
      <w:r w:rsidRPr="007B0A30">
        <w:t>sa</w:t>
      </w:r>
      <w:proofErr w:type="gramEnd"/>
      <w:r w:rsidRPr="007B0A30">
        <w:t xml:space="preserve"> zavádza jeden učiteľ pre triedu s týždennou dotáciou 24 hodín, ktorý nahrádza súčasný systém troch učiteľov rotujúcich medzi dvoma triedami. </w:t>
      </w:r>
      <w:proofErr w:type="gramStart"/>
      <w:r w:rsidRPr="007B0A30">
        <w:t>S touto reformou je menšia pravdepodobnosť, že navrhované umelecké predmety budú iné ako predmety výtvarného umenia.</w:t>
      </w:r>
      <w:proofErr w:type="gramEnd"/>
    </w:p>
    <w:p w:rsidR="0049211D" w:rsidRPr="007B0A30" w:rsidRDefault="0049211D" w:rsidP="0049211D">
      <w:proofErr w:type="gramStart"/>
      <w:r w:rsidRPr="007B0A30">
        <w:t>Ďalej, v nižších a vyšších stredných školách bude znovuzavedený “ročník dobrého správania − good conduct grade” − nízka známka v tomto ročníku bude znamenať, že študenti neprospeli v koncoročných skúškach.</w:t>
      </w:r>
      <w:proofErr w:type="gramEnd"/>
      <w:r w:rsidRPr="007B0A30">
        <w:t xml:space="preserve"> </w:t>
      </w:r>
      <w:proofErr w:type="gramStart"/>
      <w:r w:rsidRPr="007B0A30">
        <w:t>V základných a stredných školách bude prijatý klasifikačný systém, pokiaľ študent neprospeje v niektorom predmete, vrátane umeleckých predmetov, nebude môcť pokračovať v ďalšom ročníku.</w:t>
      </w:r>
      <w:proofErr w:type="gramEnd"/>
    </w:p>
    <w:p w:rsidR="0049211D" w:rsidRPr="007B0A30" w:rsidRDefault="0049211D" w:rsidP="0049211D">
      <w:r w:rsidRPr="007B0A30">
        <w:t>&amp;4 Cyprus</w:t>
      </w:r>
    </w:p>
    <w:p w:rsidR="0049211D" w:rsidRPr="007B0A30" w:rsidRDefault="0049211D" w:rsidP="0049211D">
      <w:proofErr w:type="gramStart"/>
      <w:r w:rsidRPr="007B0A30">
        <w:t>Žiadne.</w:t>
      </w:r>
      <w:proofErr w:type="gramEnd"/>
    </w:p>
    <w:p w:rsidR="0049211D" w:rsidRPr="007B0A30" w:rsidRDefault="0049211D" w:rsidP="0049211D">
      <w:proofErr w:type="gramStart"/>
      <w:r w:rsidRPr="007B0A30">
        <w:t>Avšak ministerstvo školstva a kultúry konštantne zvažuje aktualizovanie kurikula tak, aby boli zahrnuté spoločenské zmeny.</w:t>
      </w:r>
      <w:proofErr w:type="gramEnd"/>
      <w:r w:rsidRPr="007B0A30">
        <w:t xml:space="preserve"> Ako </w:t>
      </w:r>
      <w:proofErr w:type="gramStart"/>
      <w:r w:rsidRPr="007B0A30">
        <w:t>sa</w:t>
      </w:r>
      <w:proofErr w:type="gramEnd"/>
      <w:r w:rsidRPr="007B0A30">
        <w:t xml:space="preserve"> spoločnosť mení, nie iba kvôli tomu, že sa Cyprus čoskoro stane členom EÚ, ale tiež kvôli sústavne rastúcej migrácii zahraničných pracovníkov a ich rodín. Narastá potreba kurikula, ktoré </w:t>
      </w:r>
      <w:proofErr w:type="gramStart"/>
      <w:r w:rsidRPr="007B0A30">
        <w:t>sa</w:t>
      </w:r>
      <w:proofErr w:type="gramEnd"/>
      <w:r w:rsidRPr="007B0A30">
        <w:t xml:space="preserve"> viac zameria na medzikultúrne vzdelávanie a formovanie študentskej kultúrnej identity.</w:t>
      </w:r>
    </w:p>
    <w:p w:rsidR="0049211D" w:rsidRPr="007B0A30" w:rsidRDefault="0049211D" w:rsidP="0049211D">
      <w:r w:rsidRPr="007B0A30">
        <w:t>&amp;4 Lotyšsko</w:t>
      </w:r>
    </w:p>
    <w:p w:rsidR="0049211D" w:rsidRPr="007B0A30" w:rsidRDefault="0049211D" w:rsidP="0049211D">
      <w:r w:rsidRPr="007B0A30">
        <w:t xml:space="preserve">V roku 2007 ministerstvo kultúry navrhlo širší význam termínu 'kultúrne vzdelávanie', ktorý nepokrýva iba profesionálne orientovanú hudobnú a umeleckú výchovu. </w:t>
      </w:r>
      <w:proofErr w:type="gramStart"/>
      <w:r w:rsidRPr="007B0A30">
        <w:t>Podľa ministerstva by malo byť kultúrne vzdelávanie integrálnou súčasťou celoživotného vzdelávania.</w:t>
      </w:r>
      <w:proofErr w:type="gramEnd"/>
      <w:r w:rsidRPr="007B0A30">
        <w:t xml:space="preserve"> Ministerstvo kultúry zdôrazňuje, že 'kultúrne vzdelávanie' by malo mať zodpovednosť aj ministerstva kultúry, aj ministerstva školstva a vedy, ale doteraz sa spolupráca  týchto dvoch ministerstiev uskutočnila len náhodne, ad hoc, namiesto trvalej spolupráce a koordinácie. Preto ministerstvo kultúry začalo pracovať v rovnakom roku </w:t>
      </w:r>
      <w:proofErr w:type="gramStart"/>
      <w:r w:rsidRPr="007B0A30">
        <w:t>na</w:t>
      </w:r>
      <w:proofErr w:type="gramEnd"/>
      <w:r w:rsidRPr="007B0A30">
        <w:t xml:space="preserve"> rozvoji koncepčného dokumentu 'Národný program pre rozvoj kultúrneho vzdelávania' (Valsts programma kultūrizglītības attīstībai). </w:t>
      </w:r>
      <w:proofErr w:type="gramStart"/>
      <w:r w:rsidRPr="007B0A30">
        <w:t>Za rozvoj tohto politického programu sú zodpovedné obidve ministerstvá − ministerstvo kultúry a ministerstvo školstva a vedy.</w:t>
      </w:r>
      <w:proofErr w:type="gramEnd"/>
      <w:r w:rsidRPr="007B0A30">
        <w:t xml:space="preserve"> </w:t>
      </w:r>
    </w:p>
    <w:p w:rsidR="0049211D" w:rsidRPr="007B0A30" w:rsidRDefault="0049211D" w:rsidP="0049211D">
      <w:proofErr w:type="gramStart"/>
      <w:r w:rsidRPr="007B0A30">
        <w:t>V roku 2008 ministerstvo kultúry začalo rozvoj kultúrneho kánonu (Cultural Canon) Lotyšska.</w:t>
      </w:r>
      <w:proofErr w:type="gramEnd"/>
      <w:r w:rsidRPr="007B0A30">
        <w:t xml:space="preserve"> </w:t>
      </w:r>
      <w:proofErr w:type="gramStart"/>
      <w:r w:rsidRPr="007B0A30">
        <w:t>Významnú úlohu zohrali skúsenosti Dánska o jeho rozvoji.</w:t>
      </w:r>
      <w:proofErr w:type="gramEnd"/>
      <w:r w:rsidRPr="007B0A30">
        <w:t xml:space="preserve"> Podľa odborníkov je myšlienka kánonu pre ciele vzdelávania veľmi užitočná a môže slúžiť ako systém hodnôt </w:t>
      </w:r>
      <w:proofErr w:type="gramStart"/>
      <w:r w:rsidRPr="007B0A30">
        <w:t>vo</w:t>
      </w:r>
      <w:proofErr w:type="gramEnd"/>
      <w:r w:rsidRPr="007B0A30">
        <w:t xml:space="preserve"> vzdelávaní.</w:t>
      </w:r>
    </w:p>
    <w:p w:rsidR="0049211D" w:rsidRPr="007B0A30" w:rsidRDefault="0049211D" w:rsidP="0049211D">
      <w:r w:rsidRPr="007B0A30">
        <w:t>&amp;4 Litva</w:t>
      </w:r>
    </w:p>
    <w:p w:rsidR="0049211D" w:rsidRPr="007B0A30" w:rsidRDefault="0049211D" w:rsidP="0049211D">
      <w:r w:rsidRPr="007B0A30">
        <w:t xml:space="preserve">Akčný plán bol prijatý v roku 2008 </w:t>
      </w:r>
      <w:proofErr w:type="gramStart"/>
      <w:r w:rsidRPr="007B0A30">
        <w:t>na</w:t>
      </w:r>
      <w:proofErr w:type="gramEnd"/>
      <w:r w:rsidRPr="007B0A30">
        <w:t xml:space="preserve"> implementáciu koncepcie Kultúrneho vzdelávania pre deti a mládež. </w:t>
      </w:r>
    </w:p>
    <w:p w:rsidR="0049211D" w:rsidRPr="007B0A30" w:rsidRDefault="0049211D" w:rsidP="0049211D">
      <w:r w:rsidRPr="007B0A30">
        <w:t xml:space="preserve">V tom istom roku </w:t>
      </w:r>
      <w:proofErr w:type="gramStart"/>
      <w:r w:rsidRPr="007B0A30">
        <w:t>sa</w:t>
      </w:r>
      <w:proofErr w:type="gramEnd"/>
      <w:r w:rsidRPr="007B0A30">
        <w:t xml:space="preserve"> začal Integrovaný program pre sústavný rozvoj. </w:t>
      </w:r>
    </w:p>
    <w:p w:rsidR="0049211D" w:rsidRPr="007B0A30" w:rsidRDefault="0049211D" w:rsidP="0049211D">
      <w:proofErr w:type="gramStart"/>
      <w:r w:rsidRPr="007B0A30">
        <w:t>Od</w:t>
      </w:r>
      <w:proofErr w:type="gramEnd"/>
      <w:r w:rsidRPr="007B0A30">
        <w:t xml:space="preserve"> roku 2006 rastie každý rok financovanie per capita, pre kultúrne a kognitívne/vzdelávacie činnosti. </w:t>
      </w:r>
    </w:p>
    <w:p w:rsidR="0049211D" w:rsidRPr="007B0A30" w:rsidRDefault="0049211D" w:rsidP="0049211D">
      <w:r w:rsidRPr="007B0A30">
        <w:t>&amp;4 Luxembursko</w:t>
      </w:r>
    </w:p>
    <w:p w:rsidR="0049211D" w:rsidRPr="007B0A30" w:rsidRDefault="0049211D" w:rsidP="0049211D">
      <w:r w:rsidRPr="007B0A30">
        <w:t xml:space="preserve">V roku 2008 konkrétne ciele, ktoré </w:t>
      </w:r>
      <w:proofErr w:type="gramStart"/>
      <w:r w:rsidRPr="007B0A30">
        <w:t>sa</w:t>
      </w:r>
      <w:proofErr w:type="gramEnd"/>
      <w:r w:rsidRPr="007B0A30">
        <w:t xml:space="preserve"> majú dosiahnuť v umeleckom vzdelávaní boli stanovené pre 6. </w:t>
      </w:r>
      <w:proofErr w:type="gramStart"/>
      <w:r w:rsidRPr="007B0A30">
        <w:t>a</w:t>
      </w:r>
      <w:proofErr w:type="gramEnd"/>
      <w:r w:rsidRPr="007B0A30">
        <w:t xml:space="preserve"> 8. </w:t>
      </w:r>
      <w:proofErr w:type="gramStart"/>
      <w:r w:rsidRPr="007B0A30">
        <w:t>ročník</w:t>
      </w:r>
      <w:proofErr w:type="gramEnd"/>
      <w:r w:rsidRPr="007B0A30">
        <w:t>.</w:t>
      </w:r>
    </w:p>
    <w:p w:rsidR="0049211D" w:rsidRPr="007B0A30" w:rsidRDefault="0049211D" w:rsidP="0049211D">
      <w:r w:rsidRPr="007B0A30">
        <w:t>&amp;4 Maďarsko</w:t>
      </w:r>
    </w:p>
    <w:p w:rsidR="0049211D" w:rsidRPr="007B0A30" w:rsidRDefault="0049211D" w:rsidP="0049211D">
      <w:proofErr w:type="gramStart"/>
      <w:r w:rsidRPr="007B0A30">
        <w:t>Je vypracovaný plán vytvoriť s podporou maďarskej spoločnosti kreatívnych umelcov a štúdiom mladých umelcov a rámec pre profesionálnych umelcov navštevujúcich školy.</w:t>
      </w:r>
      <w:proofErr w:type="gramEnd"/>
      <w:r w:rsidRPr="007B0A30">
        <w:t xml:space="preserve"> </w:t>
      </w:r>
      <w:proofErr w:type="gramStart"/>
      <w:r w:rsidRPr="007B0A30">
        <w:t>Pre nedostatok finančných prostriedkov nebol ešte zahájený.</w:t>
      </w:r>
      <w:proofErr w:type="gramEnd"/>
      <w:r w:rsidRPr="007B0A30">
        <w:t xml:space="preserve"> </w:t>
      </w:r>
    </w:p>
    <w:p w:rsidR="0049211D" w:rsidRPr="007B0A30" w:rsidRDefault="0049211D" w:rsidP="0049211D">
      <w:r w:rsidRPr="007B0A30">
        <w:t>&amp;4 Malta</w:t>
      </w:r>
    </w:p>
    <w:p w:rsidR="0049211D" w:rsidRPr="007B0A30" w:rsidRDefault="0049211D" w:rsidP="0049211D">
      <w:proofErr w:type="gramStart"/>
      <w:r w:rsidRPr="007B0A30">
        <w:t>Od</w:t>
      </w:r>
      <w:proofErr w:type="gramEnd"/>
      <w:r w:rsidRPr="007B0A30">
        <w:t xml:space="preserve"> septembra 2008 umelecká škola, hudobná škola a dramatické centrum sa zlúčili do College of Arts. </w:t>
      </w:r>
      <w:proofErr w:type="gramStart"/>
      <w:r w:rsidRPr="007B0A30">
        <w:t>Táto škola umožňuje medzidisciplinárnu interakciu a ďalší rozvoj medzidisciplinárneho štúdia.</w:t>
      </w:r>
      <w:proofErr w:type="gramEnd"/>
      <w:r w:rsidRPr="007B0A30">
        <w:t xml:space="preserve"> Sieť týchto škôl poskytuje zdroje pre iné colleges a prostredníctvom kvalitných sieťových liniek by mala poskytovať podporu iniciatívam </w:t>
      </w:r>
      <w:proofErr w:type="gramStart"/>
      <w:r w:rsidRPr="007B0A30">
        <w:t>a</w:t>
      </w:r>
      <w:proofErr w:type="gramEnd"/>
      <w:r w:rsidRPr="007B0A30">
        <w:t xml:space="preserve"> aktivitám v kreatívnych a umeleckých odboroch. Vláda tiež zamýšľa podporovať ďalšie rozširovanie siete medzi týmito školami a ďalšími umeleckými a kultúrnymi útvarmi ako je národný orchester, divadlo Manoel, St. James Cavalier ako aj s Univerzitou Malty a MCAST (Malta College of Arts, Science and Technology}. Cieľom je, aby </w:t>
      </w:r>
      <w:proofErr w:type="gramStart"/>
      <w:r w:rsidRPr="007B0A30">
        <w:t>mali</w:t>
      </w:r>
      <w:proofErr w:type="gramEnd"/>
      <w:r w:rsidRPr="007B0A30">
        <w:t xml:space="preserve"> školy, ktorých vyučovanie sa zakladá na všeobecnom kurikule, špeciálne zameranie na hudbu, drámu, výtvarné umenie a tanec. </w:t>
      </w:r>
    </w:p>
    <w:p w:rsidR="0049211D" w:rsidRPr="007B0A30" w:rsidRDefault="0049211D" w:rsidP="0049211D">
      <w:r w:rsidRPr="007B0A30">
        <w:t>&amp;4 Holandsko</w:t>
      </w:r>
    </w:p>
    <w:p w:rsidR="0049211D" w:rsidRPr="007B0A30" w:rsidRDefault="0049211D" w:rsidP="0049211D">
      <w:r w:rsidRPr="007B0A30">
        <w:t xml:space="preserve">V spolupráci s európskymi štátmi </w:t>
      </w:r>
      <w:proofErr w:type="gramStart"/>
      <w:r w:rsidRPr="007B0A30">
        <w:t>sa</w:t>
      </w:r>
      <w:proofErr w:type="gramEnd"/>
      <w:r w:rsidRPr="007B0A30">
        <w:t xml:space="preserve"> plány vypracúvajú pre európsky portál o umeleckom vzdelávaní. </w:t>
      </w:r>
      <w:proofErr w:type="gramStart"/>
      <w:r w:rsidRPr="007B0A30">
        <w:t>Súčasťou budúceho portálu bude slovník termínov o umeleckom a kultúrnom vzdelávaní.</w:t>
      </w:r>
      <w:proofErr w:type="gramEnd"/>
      <w:r w:rsidRPr="007B0A30">
        <w:t xml:space="preserve"> </w:t>
      </w:r>
      <w:proofErr w:type="gramStart"/>
      <w:r w:rsidRPr="007B0A30">
        <w:t>Cultuurnetwerk už má pripravenú pilotnú verziu slovníka.</w:t>
      </w:r>
      <w:proofErr w:type="gramEnd"/>
      <w:r w:rsidRPr="007B0A30">
        <w:t xml:space="preserve"> Podrobnejšie informácie pozri: http://www.cultuurnetwerk.nl/english/index.html.</w:t>
      </w:r>
    </w:p>
    <w:p w:rsidR="0049211D" w:rsidRPr="007B0A30" w:rsidRDefault="0049211D" w:rsidP="0049211D">
      <w:r w:rsidRPr="007B0A30">
        <w:t>&amp;4 Rakúsko</w:t>
      </w:r>
    </w:p>
    <w:p w:rsidR="0049211D" w:rsidRPr="007B0A30" w:rsidRDefault="0049211D" w:rsidP="0049211D">
      <w:proofErr w:type="gramStart"/>
      <w:r w:rsidRPr="007B0A30">
        <w:t>V roku 2007, EDUCULT Vienna, expertízne centrum pre umelecké a kultúrne vzdelávanie, vydalo správu 'Diverzita a spolupráca – Kultúrne vzdelávanie v Rakúsku' (Vielfalt und Kooperation – kulturelle Bildung in Österreich), ktorá zadalo ministerstvo školstva, umenia a kultúry.</w:t>
      </w:r>
      <w:proofErr w:type="gramEnd"/>
      <w:r w:rsidRPr="007B0A30">
        <w:t xml:space="preserve"> </w:t>
      </w:r>
      <w:proofErr w:type="gramStart"/>
      <w:r w:rsidRPr="007B0A30">
        <w:t>V správe je zahrnuté množstvo odporúčaní vychádzajúce z kvalitatívneho výskumu, v ktorom boli zapojení hlavní aktéri v odbore.</w:t>
      </w:r>
      <w:proofErr w:type="gramEnd"/>
      <w:r w:rsidRPr="007B0A30">
        <w:t xml:space="preserve"> Boli sformulované tri hlavné odporúčania: </w:t>
      </w:r>
    </w:p>
    <w:p w:rsidR="0049211D" w:rsidRPr="007B0A30" w:rsidRDefault="0049211D" w:rsidP="0049211D">
      <w:r w:rsidRPr="007B0A30">
        <w:t xml:space="preserve">Koncepcia založená </w:t>
      </w:r>
      <w:proofErr w:type="gramStart"/>
      <w:r w:rsidRPr="007B0A30">
        <w:t>na</w:t>
      </w:r>
      <w:proofErr w:type="gramEnd"/>
      <w:r w:rsidRPr="007B0A30">
        <w:t xml:space="preserve"> dôkazoch: poskytovanie základu pre koncepciu založenú na dôkaze v umeleckom a kultúrnom vzdelávaní je systematický zber empirických kvantitatívnych a kvalitatívnych údajov na transparentné rozhodovanie ako aj efektívnu implementáciu opatrení.</w:t>
      </w:r>
    </w:p>
    <w:p w:rsidR="0049211D" w:rsidRPr="007B0A30" w:rsidRDefault="0049211D" w:rsidP="0049211D">
      <w:r w:rsidRPr="007B0A30">
        <w:t xml:space="preserve">Zviditeľňovanie: zviditeľňovaním pozitívnych efektov umeleckého a kultúrneho vzdelávania pre školskú komunitu ako aj pre jednotlivca a tiež zintenzívňovaním verejných prednášok zapájajúc nových partnerov (napr. zástupcov hospodárstva, vedy a pod.). </w:t>
      </w:r>
    </w:p>
    <w:p w:rsidR="0049211D" w:rsidRPr="007B0A30" w:rsidRDefault="0049211D" w:rsidP="0049211D">
      <w:r w:rsidRPr="007B0A30">
        <w:t xml:space="preserve">Symbolická koncepcia: verejne poďakovanie tým, ktorí </w:t>
      </w:r>
      <w:proofErr w:type="gramStart"/>
      <w:r w:rsidRPr="007B0A30">
        <w:t>sa</w:t>
      </w:r>
      <w:proofErr w:type="gramEnd"/>
      <w:r w:rsidRPr="007B0A30">
        <w:t xml:space="preserve"> aktívne angažujú v oblasti umeleckého a kultúrneho vzdelávania a taktiež podporovať zlepšovanie kvality. </w:t>
      </w:r>
    </w:p>
    <w:p w:rsidR="0049211D" w:rsidRPr="007B0A30" w:rsidRDefault="0049211D" w:rsidP="0049211D">
      <w:r w:rsidRPr="007B0A30">
        <w:t xml:space="preserve">V odporúčaniach o rozvíjaní kultúrneho vzdelávania </w:t>
      </w:r>
      <w:proofErr w:type="gramStart"/>
      <w:r w:rsidRPr="007B0A30">
        <w:t>na</w:t>
      </w:r>
      <w:proofErr w:type="gramEnd"/>
      <w:r w:rsidRPr="007B0A30">
        <w:t xml:space="preserve"> školskej úrovni v správe sa navrhuje podpora projektového vyučovania a spájanie úsilia kultúrneho vzdelávania a pedagogiky kultúry. V správe </w:t>
      </w:r>
      <w:proofErr w:type="gramStart"/>
      <w:r w:rsidRPr="007B0A30">
        <w:t>sa</w:t>
      </w:r>
      <w:proofErr w:type="gramEnd"/>
      <w:r w:rsidRPr="007B0A30">
        <w:t xml:space="preserve"> argumentuje, že umelecké a kultúrne vzdelávanie potrebuje adekvátny čas a priestor a z tohto dôvodu sa nemôže uspokojujúco vykonávať v rámci rigidného rozvrhu. </w:t>
      </w:r>
      <w:proofErr w:type="gramStart"/>
      <w:r w:rsidRPr="007B0A30">
        <w:t>Niektoré školy už realizujú projektové vyučovanie, kde rozvíjajú témy ako súčasť prebiehajúceho procesu, zahrňujúc rôzne perspektívy a metódy.</w:t>
      </w:r>
      <w:proofErr w:type="gramEnd"/>
      <w:r w:rsidRPr="007B0A30">
        <w:t xml:space="preserve"> Ďalšie odporúčanie je </w:t>
      </w:r>
      <w:proofErr w:type="gramStart"/>
      <w:r w:rsidRPr="007B0A30">
        <w:t>vo</w:t>
      </w:r>
      <w:proofErr w:type="gramEnd"/>
      <w:r w:rsidRPr="007B0A30">
        <w:t xml:space="preserve"> forme využívania kultúrneho vzdelávania a pedagogiky kultúry ako doplnkového nástroja pre integráciu deti migrantov do rakúskeho školského systému. Predpokladá </w:t>
      </w:r>
      <w:proofErr w:type="gramStart"/>
      <w:r w:rsidRPr="007B0A30">
        <w:t>sa</w:t>
      </w:r>
      <w:proofErr w:type="gramEnd"/>
      <w:r w:rsidRPr="007B0A30">
        <w:t>, že podpora projektového vyučovania a kombinácia kultúrneho vzdelávania a pedagogiky kultúry, ktoré sa už objavujú v niektorých školách, budú v budúcnosti systematicky implementované.</w:t>
      </w:r>
    </w:p>
    <w:p w:rsidR="0049211D" w:rsidRPr="007B0A30" w:rsidRDefault="0049211D" w:rsidP="0049211D">
      <w:r w:rsidRPr="007B0A30">
        <w:t>&amp;4 Poľsko</w:t>
      </w:r>
    </w:p>
    <w:p w:rsidR="0049211D" w:rsidRPr="007B0A30" w:rsidRDefault="0049211D" w:rsidP="0049211D">
      <w:r w:rsidRPr="007B0A30">
        <w:t xml:space="preserve">V súčasnosti </w:t>
      </w:r>
      <w:proofErr w:type="gramStart"/>
      <w:r w:rsidRPr="007B0A30">
        <w:t>sa</w:t>
      </w:r>
      <w:proofErr w:type="gramEnd"/>
      <w:r w:rsidRPr="007B0A30">
        <w:t xml:space="preserve"> pripravuje nové kurikulum pre všeobecné vzdelávanie. Navrhované zmeny </w:t>
      </w:r>
      <w:proofErr w:type="gramStart"/>
      <w:r w:rsidRPr="007B0A30">
        <w:t>sa</w:t>
      </w:r>
      <w:proofErr w:type="gramEnd"/>
      <w:r w:rsidRPr="007B0A30">
        <w:t xml:space="preserve"> týkajú všetkých predmetov. Predpokladá </w:t>
      </w:r>
      <w:proofErr w:type="gramStart"/>
      <w:r w:rsidRPr="007B0A30">
        <w:t>sa</w:t>
      </w:r>
      <w:proofErr w:type="gramEnd"/>
      <w:r w:rsidRPr="007B0A30">
        <w:t xml:space="preserve">, že nové kurikulum bude implementované od 1. </w:t>
      </w:r>
      <w:proofErr w:type="gramStart"/>
      <w:r w:rsidRPr="007B0A30">
        <w:t>septembra</w:t>
      </w:r>
      <w:proofErr w:type="gramEnd"/>
      <w:r w:rsidRPr="007B0A30">
        <w:t xml:space="preserve"> 2009. </w:t>
      </w:r>
    </w:p>
    <w:p w:rsidR="0049211D" w:rsidRPr="007B0A30" w:rsidRDefault="0049211D" w:rsidP="0049211D">
      <w:r w:rsidRPr="007B0A30">
        <w:t>&amp;4 Portugalsko</w:t>
      </w:r>
    </w:p>
    <w:p w:rsidR="0049211D" w:rsidRPr="007B0A30" w:rsidRDefault="0049211D" w:rsidP="0049211D">
      <w:r w:rsidRPr="007B0A30">
        <w:t xml:space="preserve">Ministerstvo školstva pracuje </w:t>
      </w:r>
      <w:proofErr w:type="gramStart"/>
      <w:r w:rsidRPr="007B0A30">
        <w:t>na</w:t>
      </w:r>
      <w:proofErr w:type="gramEnd"/>
      <w:r w:rsidRPr="007B0A30">
        <w:t xml:space="preserve"> reštrukturalizácii špecializovaného vzdelávania v hudbe a tanci. Plánované zmeny zahrňujú definíciu poslania; dochádzka je zvažovaná v súvislosti s poskytovaním; prehodnocujú </w:t>
      </w:r>
      <w:proofErr w:type="gramStart"/>
      <w:r w:rsidRPr="007B0A30">
        <w:t>sa</w:t>
      </w:r>
      <w:proofErr w:type="gramEnd"/>
      <w:r w:rsidRPr="007B0A30">
        <w:t xml:space="preserve"> sylaby rôznych umeleckých odborov; a nakoniec sa predpokladá tvorba a/alebo úprava programov príslušných umeleckých predmetov.</w:t>
      </w:r>
    </w:p>
    <w:p w:rsidR="0049211D" w:rsidRPr="007B0A30" w:rsidRDefault="0049211D" w:rsidP="0049211D">
      <w:r w:rsidRPr="007B0A30">
        <w:t>&amp;4 Rumunsko</w:t>
      </w:r>
    </w:p>
    <w:p w:rsidR="0049211D" w:rsidRPr="007B0A30" w:rsidRDefault="0049211D" w:rsidP="0049211D">
      <w:r w:rsidRPr="007B0A30">
        <w:t xml:space="preserve">Ministerstvo školstva, výskumu a mládeže schválilo kurikulum pre voliteľné štúdium rumunského jazyka, kultúry a civilizácie, ktoré </w:t>
      </w:r>
      <w:proofErr w:type="gramStart"/>
      <w:r w:rsidRPr="007B0A30">
        <w:t>sa</w:t>
      </w:r>
      <w:proofErr w:type="gramEnd"/>
      <w:r w:rsidRPr="007B0A30">
        <w:t xml:space="preserve"> budú vyučovať dvakrát do týždňa. Táto trojúrovňová štruktúra je podľa preduniverzitného vzdelávania v Rumunsku: základné vzdelávanie – 4 ročníky, gimnaziu (prvá fáza nižšieho stredného vzdelávania) – 4 ročníky, liceu (druhá fáza nižšieho stredného vzdelávania a vyššie stredné vzdelávanie) – 4 ročníky. Kurikulum je zamerané </w:t>
      </w:r>
      <w:proofErr w:type="gramStart"/>
      <w:r w:rsidRPr="007B0A30">
        <w:t>na</w:t>
      </w:r>
      <w:proofErr w:type="gramEnd"/>
      <w:r w:rsidRPr="007B0A30">
        <w:t xml:space="preserve"> uľahčenie kontaktu rumunských žiakov s rumunským jazykom, kultúrou a civilizáciou prostredníctvom rozvíjania komunikačných zručností, informáciami o dôležitých momentoch histórie Rumunska. </w:t>
      </w:r>
    </w:p>
    <w:p w:rsidR="0049211D" w:rsidRPr="007B0A30" w:rsidRDefault="0049211D" w:rsidP="0049211D">
      <w:r w:rsidRPr="007B0A30">
        <w:t>&amp;4 Slovinsko</w:t>
      </w:r>
    </w:p>
    <w:p w:rsidR="0049211D" w:rsidRPr="007B0A30" w:rsidRDefault="0049211D" w:rsidP="0049211D">
      <w:r w:rsidRPr="007B0A30">
        <w:t>V roku 2007 ministerstvo školstva a športu v spolupráci s národným pedagogickým ústavom a ministerstvom kultúry prijalo nasledujúce ciele:</w:t>
      </w:r>
    </w:p>
    <w:p w:rsidR="0049211D" w:rsidRPr="007B0A30" w:rsidRDefault="0049211D" w:rsidP="0049211D">
      <w:r w:rsidRPr="007B0A30">
        <w:t xml:space="preserve">&amp;Q zvýšiť povedomie o úlohe kultúrneho vzdelávania vo </w:t>
      </w:r>
      <w:proofErr w:type="gramStart"/>
      <w:r w:rsidRPr="007B0A30">
        <w:t>vzdelávacom  systéme</w:t>
      </w:r>
      <w:proofErr w:type="gramEnd"/>
      <w:r w:rsidRPr="007B0A30">
        <w:t>;</w:t>
      </w:r>
    </w:p>
    <w:p w:rsidR="0049211D" w:rsidRPr="007B0A30" w:rsidRDefault="0049211D" w:rsidP="0049211D">
      <w:r w:rsidRPr="007B0A30">
        <w:t xml:space="preserve">&amp;Q zvýšiť úroveň kultúrnej gramotnosti; a </w:t>
      </w:r>
    </w:p>
    <w:p w:rsidR="0049211D" w:rsidRPr="007B0A30" w:rsidRDefault="0049211D" w:rsidP="0049211D">
      <w:r w:rsidRPr="007B0A30">
        <w:t xml:space="preserve">&amp;Q vybudovať spojenia medzi rezortom vzdelávania </w:t>
      </w:r>
      <w:proofErr w:type="gramStart"/>
      <w:r w:rsidRPr="007B0A30">
        <w:t>a  rezortom</w:t>
      </w:r>
      <w:proofErr w:type="gramEnd"/>
      <w:r w:rsidRPr="007B0A30">
        <w:t xml:space="preserve"> kultúry.</w:t>
      </w:r>
    </w:p>
    <w:p w:rsidR="0049211D" w:rsidRPr="007B0A30" w:rsidRDefault="0049211D" w:rsidP="0049211D">
      <w:r w:rsidRPr="007B0A30">
        <w:t xml:space="preserve">Odvtedy </w:t>
      </w:r>
      <w:proofErr w:type="gramStart"/>
      <w:r w:rsidRPr="007B0A30">
        <w:t>sa</w:t>
      </w:r>
      <w:proofErr w:type="gramEnd"/>
      <w:r w:rsidRPr="007B0A30">
        <w:t xml:space="preserve"> už konali také aktivity ako organizovanie širokej verejnej diskusie o kultúrnom vzdelávaní, seminárov pre kultúrnych koordinátorov; publikovanie informácií; príprava návrhov dokumentov a iniciovanie výskumnej činnosti o kultúrnom a umeleckom vzdelávaní. Medzi výsledkami z týchto aktivít boli nasledovné:</w:t>
      </w:r>
    </w:p>
    <w:p w:rsidR="0049211D" w:rsidRPr="007B0A30" w:rsidRDefault="0049211D" w:rsidP="0049211D">
      <w:r w:rsidRPr="007B0A30">
        <w:t xml:space="preserve">&amp;Q predmety umeleckých škôl </w:t>
      </w:r>
      <w:proofErr w:type="gramStart"/>
      <w:r w:rsidRPr="007B0A30">
        <w:t>na</w:t>
      </w:r>
      <w:proofErr w:type="gramEnd"/>
      <w:r w:rsidRPr="007B0A30">
        <w:t xml:space="preserve"> vyššej stredoškolskej úrovni boli prehodnotené od školského roku 2008/09;</w:t>
      </w:r>
    </w:p>
    <w:p w:rsidR="0049211D" w:rsidRPr="007B0A30" w:rsidRDefault="0049211D" w:rsidP="0049211D">
      <w:r w:rsidRPr="007B0A30">
        <w:t xml:space="preserve">&amp;Q začala sa príprava projektu pre vytvorenie koncepcie kultúrneho </w:t>
      </w:r>
      <w:proofErr w:type="gramStart"/>
      <w:r w:rsidRPr="007B0A30">
        <w:t>vzdelávania  v</w:t>
      </w:r>
      <w:proofErr w:type="gramEnd"/>
      <w:r w:rsidRPr="007B0A30">
        <w:t> r. 2009-2011;</w:t>
      </w:r>
    </w:p>
    <w:p w:rsidR="0049211D" w:rsidRPr="007B0A30" w:rsidRDefault="0049211D" w:rsidP="0049211D">
      <w:r w:rsidRPr="007B0A30">
        <w:t xml:space="preserve">&amp;Q návrh </w:t>
      </w:r>
      <w:proofErr w:type="gramStart"/>
      <w:r w:rsidRPr="007B0A30">
        <w:t>na</w:t>
      </w:r>
      <w:proofErr w:type="gramEnd"/>
      <w:r w:rsidRPr="007B0A30">
        <w:t xml:space="preserve"> integráciu textu, špecifikovanie úlohy kultúrneho vzdelávania v kapitole 'medzipredmetové vzťahy' už bolo odsúhlasené; vzťahuje sa na základnú školu a študentov vo vyšších stredných školách.</w:t>
      </w:r>
    </w:p>
    <w:p w:rsidR="0049211D" w:rsidRPr="007B0A30" w:rsidRDefault="0049211D" w:rsidP="0049211D">
      <w:r w:rsidRPr="007B0A30">
        <w:t>&amp;4 Slovensko</w:t>
      </w:r>
    </w:p>
    <w:p w:rsidR="0049211D" w:rsidRPr="007B0A30" w:rsidRDefault="0049211D" w:rsidP="0049211D">
      <w:proofErr w:type="gramStart"/>
      <w:r w:rsidRPr="007B0A30">
        <w:t>Podľa školského zákona č. 245 z mája 2008, zriaďovatelia základných umeleckých škôl sú obce a samosprávne regióny.</w:t>
      </w:r>
      <w:proofErr w:type="gramEnd"/>
    </w:p>
    <w:p w:rsidR="0049211D" w:rsidRPr="007B0A30" w:rsidRDefault="0049211D" w:rsidP="0049211D">
      <w:proofErr w:type="gramStart"/>
      <w:r w:rsidRPr="007B0A30">
        <w:t>Od</w:t>
      </w:r>
      <w:proofErr w:type="gramEnd"/>
      <w:r w:rsidRPr="007B0A30">
        <w:t xml:space="preserve"> školského roku 2008/09 boli zavedené nové kurikulá na úrovni ISCED 1, 2 a 3. Hlavná zmena, ktorá </w:t>
      </w:r>
      <w:proofErr w:type="gramStart"/>
      <w:r w:rsidRPr="007B0A30">
        <w:t>sa</w:t>
      </w:r>
      <w:proofErr w:type="gramEnd"/>
      <w:r w:rsidRPr="007B0A30">
        <w:t xml:space="preserve"> týkala umeleckého vzdelávania bola zavedenie špecifického hodnotenia známkami.</w:t>
      </w:r>
    </w:p>
    <w:p w:rsidR="0049211D" w:rsidRPr="007B0A30" w:rsidRDefault="0049211D" w:rsidP="0049211D">
      <w:proofErr w:type="gramStart"/>
      <w:r w:rsidRPr="007B0A30">
        <w:t>V roku 2008 bol prijatý nový prístup v súvislosti s CPD všetkých učiteľov.</w:t>
      </w:r>
      <w:proofErr w:type="gramEnd"/>
      <w:r w:rsidRPr="007B0A30">
        <w:t xml:space="preserve"> Je založený </w:t>
      </w:r>
      <w:proofErr w:type="gramStart"/>
      <w:r w:rsidRPr="007B0A30">
        <w:t>na</w:t>
      </w:r>
      <w:proofErr w:type="gramEnd"/>
      <w:r w:rsidRPr="007B0A30">
        <w:t xml:space="preserve"> celoživotnom vzdelávaní v školstve, aby sa zvýšili a aktualizovali profesijné a pedagogické kompetencie učiteľov. </w:t>
      </w:r>
      <w:proofErr w:type="gramStart"/>
      <w:r w:rsidRPr="007B0A30">
        <w:t>Implementácia koncepcie bude realizovaná v zákone o postavení pedagogických zamestnancov škôl a školských zariadení.</w:t>
      </w:r>
      <w:proofErr w:type="gramEnd"/>
    </w:p>
    <w:p w:rsidR="0049211D" w:rsidRPr="007B0A30" w:rsidRDefault="0049211D" w:rsidP="0049211D">
      <w:r w:rsidRPr="007B0A30">
        <w:t>&amp;4 Fínsko</w:t>
      </w:r>
    </w:p>
    <w:p w:rsidR="0049211D" w:rsidRPr="007B0A30" w:rsidRDefault="0049211D" w:rsidP="0049211D">
      <w:r w:rsidRPr="007B0A30">
        <w:t xml:space="preserve">Podľa rozvojového plánu pre vzdelávanie a výskum </w:t>
      </w:r>
      <w:proofErr w:type="gramStart"/>
      <w:r w:rsidRPr="007B0A30">
        <w:t>na</w:t>
      </w:r>
      <w:proofErr w:type="gramEnd"/>
      <w:r w:rsidRPr="007B0A30">
        <w:t xml:space="preserve"> roky 2007-2012 ministerstva školstva, práve skúma efektívnosť národného kurikula. V apríli 2009 ministerstvo školstva menovalo pracovnú skupinu </w:t>
      </w:r>
      <w:proofErr w:type="gramStart"/>
      <w:r w:rsidRPr="007B0A30">
        <w:t>na</w:t>
      </w:r>
      <w:proofErr w:type="gramEnd"/>
      <w:r w:rsidRPr="007B0A30">
        <w:t xml:space="preserve"> prípravu návrhov všeobecných národných cieľov a distribúciu vyučovacích hodín v základnom vzdelávaní. </w:t>
      </w:r>
      <w:proofErr w:type="gramStart"/>
      <w:r w:rsidRPr="007B0A30">
        <w:t>Jedným z uvedených cieľov v reforme je posilniť postavenie umeleckých predmetov v kurikulu.</w:t>
      </w:r>
      <w:proofErr w:type="gramEnd"/>
    </w:p>
    <w:p w:rsidR="0049211D" w:rsidRPr="007B0A30" w:rsidRDefault="0049211D" w:rsidP="0049211D">
      <w:proofErr w:type="gramStart"/>
      <w:r w:rsidRPr="007B0A30">
        <w:t>V roku 2008 ministerstvo školstva menovalo rozsiahlu poradnú radu pre rozvoj sústavnej odbornej prípravy pedagogických pracovníkov.</w:t>
      </w:r>
      <w:proofErr w:type="gramEnd"/>
      <w:r w:rsidRPr="007B0A30">
        <w:t xml:space="preserve"> Úlohou rady je predvídať zmeny </w:t>
      </w:r>
      <w:proofErr w:type="gramStart"/>
      <w:r w:rsidRPr="007B0A30">
        <w:t>vo</w:t>
      </w:r>
      <w:proofErr w:type="gramEnd"/>
      <w:r w:rsidRPr="007B0A30">
        <w:t xml:space="preserve"> vzdelávacích potrebách pedagogických pracovníkov, sledovať status sústavnej odbornej prípravy a jej potrebu rozvíjať sa. Tiež navrhuje iniciatívy </w:t>
      </w:r>
      <w:proofErr w:type="gramStart"/>
      <w:r w:rsidRPr="007B0A30">
        <w:t>na</w:t>
      </w:r>
      <w:proofErr w:type="gramEnd"/>
      <w:r w:rsidRPr="007B0A30">
        <w:t xml:space="preserve"> rozvoj sústavnej odbornej prípravy.</w:t>
      </w:r>
    </w:p>
    <w:p w:rsidR="0049211D" w:rsidRPr="007B0A30" w:rsidRDefault="0049211D" w:rsidP="0049211D">
      <w:r w:rsidRPr="007B0A30">
        <w:t>&amp;4 Švédsko</w:t>
      </w:r>
    </w:p>
    <w:p w:rsidR="0049211D" w:rsidRPr="007B0A30" w:rsidRDefault="0049211D" w:rsidP="0049211D">
      <w:proofErr w:type="gramStart"/>
      <w:r w:rsidRPr="007B0A30">
        <w:t>Od</w:t>
      </w:r>
      <w:proofErr w:type="gramEnd"/>
      <w:r w:rsidRPr="007B0A30">
        <w:t xml:space="preserve"> školského roku 2008/09 sú školy a učitelia povinní vypracovávať písomnú dokumentáciu o výsledkoch každého žiaka a o napredovaní v každom predmete. To by malo posilniť podrobné sledovanie jednotlivcov a </w:t>
      </w:r>
      <w:proofErr w:type="gramStart"/>
      <w:r w:rsidRPr="007B0A30">
        <w:t>zlepšiť  informácie</w:t>
      </w:r>
      <w:proofErr w:type="gramEnd"/>
      <w:r w:rsidRPr="007B0A30">
        <w:t>, ktoré sa poskytujú rodičom o žiakoch.</w:t>
      </w:r>
    </w:p>
    <w:p w:rsidR="0049211D" w:rsidRPr="007B0A30" w:rsidRDefault="0049211D" w:rsidP="0049211D">
      <w:r w:rsidRPr="007B0A30">
        <w:t>&amp;4 Spojené kráľovstvo – Anglicko</w:t>
      </w:r>
    </w:p>
    <w:p w:rsidR="0049211D" w:rsidRPr="007B0A30" w:rsidRDefault="0049211D" w:rsidP="0049211D">
      <w:r w:rsidRPr="007B0A30">
        <w:t xml:space="preserve">Prehodnotené kurikulum pre vekovú skupinu 11- 16-ročných </w:t>
      </w:r>
      <w:proofErr w:type="gramStart"/>
      <w:r w:rsidRPr="007B0A30">
        <w:t>sa</w:t>
      </w:r>
      <w:proofErr w:type="gramEnd"/>
      <w:r w:rsidRPr="007B0A30">
        <w:t xml:space="preserve"> začalo od septembra 2008. Malo by byť úplne implementované do septembra 2011. Prehodnotenie kurikula bolo určené, aby poskytlo učiteľom </w:t>
      </w:r>
      <w:proofErr w:type="gramStart"/>
      <w:r w:rsidRPr="007B0A30">
        <w:t>menej  direktívny</w:t>
      </w:r>
      <w:proofErr w:type="gramEnd"/>
      <w:r w:rsidRPr="007B0A30">
        <w:t xml:space="preserve"> a viac flexibilný rámec pre vyučovanie a vytvoriť väčší priestor pre splnenie potrieb jednotlivých žiakov. Jednou z kľúčových zmien v prehodnotenom kurikulu je nové zameranie </w:t>
      </w:r>
      <w:proofErr w:type="gramStart"/>
      <w:r w:rsidRPr="007B0A30">
        <w:t>na</w:t>
      </w:r>
      <w:proofErr w:type="gramEnd"/>
      <w:r w:rsidRPr="007B0A30">
        <w:t xml:space="preserve"> ‘ciele a zručnosti’. Zahrňuje nový rámec pre osobné zručnosti v učení a myslení, ktoré </w:t>
      </w:r>
      <w:proofErr w:type="gramStart"/>
      <w:r w:rsidRPr="007B0A30">
        <w:t>sa</w:t>
      </w:r>
      <w:proofErr w:type="gramEnd"/>
      <w:r w:rsidRPr="007B0A30">
        <w:t xml:space="preserve"> považujú za podstatné pre úspech v živote a učení. Rámec pozostáva zo šiestich skupín zručností, ktoré zahrňujú </w:t>
      </w:r>
      <w:proofErr w:type="gramStart"/>
      <w:r w:rsidRPr="007B0A30">
        <w:t>‘ zručnosti</w:t>
      </w:r>
      <w:proofErr w:type="gramEnd"/>
      <w:r w:rsidRPr="007B0A30">
        <w:t xml:space="preserve"> kreatívneho myslenia’ a je zameraný na podporu a doplnenie programov štúdia vo všetkých predmetových oblastiach vrátane umenia.</w:t>
      </w:r>
    </w:p>
    <w:p w:rsidR="0049211D" w:rsidRPr="007B0A30" w:rsidRDefault="0049211D" w:rsidP="0049211D">
      <w:proofErr w:type="gramStart"/>
      <w:r w:rsidRPr="007B0A30">
        <w:t>Od začiatku roku 2007 agentúra Training and Development Agency for Schools (TDA) začala pracovať na projekte o rozvoji učiteľov’ predmetové vedomosti a pedagogika.</w:t>
      </w:r>
      <w:proofErr w:type="gramEnd"/>
      <w:r w:rsidRPr="007B0A30">
        <w:t xml:space="preserve"> </w:t>
      </w:r>
      <w:proofErr w:type="gramStart"/>
      <w:r w:rsidRPr="007B0A30">
        <w:t>Projekt zahrňuje fázový rozvoj on-line materiálov sústavného odborného rozvoja (CPD) a dráma je jeden z predmetov v súčasnej fáze (2008-2009).</w:t>
      </w:r>
      <w:proofErr w:type="gramEnd"/>
      <w:r w:rsidRPr="007B0A30">
        <w:t xml:space="preserve"> </w:t>
      </w:r>
      <w:proofErr w:type="gramStart"/>
      <w:r w:rsidRPr="007B0A30">
        <w:t>Prvok drámy je vedený národnou drámou National Drama, vedúci subjekt asociácie UK pre učiteľov drámy.</w:t>
      </w:r>
      <w:proofErr w:type="gramEnd"/>
    </w:p>
    <w:p w:rsidR="0049211D" w:rsidRPr="007B0A30" w:rsidRDefault="0049211D" w:rsidP="0049211D">
      <w:r w:rsidRPr="007B0A30">
        <w:t>&amp;4 Spojené kráľovstvo – Wales</w:t>
      </w:r>
    </w:p>
    <w:p w:rsidR="0049211D" w:rsidRPr="007B0A30" w:rsidRDefault="0049211D" w:rsidP="0049211D">
      <w:r w:rsidRPr="007B0A30">
        <w:t xml:space="preserve">Prehodnotené kurikulum pre 3-19-ročných </w:t>
      </w:r>
      <w:proofErr w:type="gramStart"/>
      <w:r w:rsidRPr="007B0A30">
        <w:t>sa</w:t>
      </w:r>
      <w:proofErr w:type="gramEnd"/>
      <w:r w:rsidRPr="007B0A30">
        <w:t xml:space="preserve"> začal zavádzať v septembri 2008 a úplne bude implementovaný od septembra 2011. </w:t>
      </w:r>
      <w:proofErr w:type="gramStart"/>
      <w:r w:rsidRPr="007B0A30">
        <w:t>Jeho cieľom je dať učiteľom väčšiu flexibilitu prostredníctvom menej predpísaného obsahu predmetu a zahrnutím rámcových zručností pre skupinu 3- až 19-ročných žiakov.</w:t>
      </w:r>
      <w:proofErr w:type="gramEnd"/>
      <w:r w:rsidRPr="007B0A30">
        <w:t xml:space="preserve"> Rámec podporuje všetky predmety v kurikulu, vrátane umeleckých predmetov a cieľov </w:t>
      </w:r>
      <w:proofErr w:type="gramStart"/>
      <w:r w:rsidRPr="007B0A30">
        <w:t>na</w:t>
      </w:r>
      <w:proofErr w:type="gramEnd"/>
      <w:r w:rsidRPr="007B0A30">
        <w:t xml:space="preserve"> zabezpečenie jednotného prístupu k učeniu a prospievaniu. ‘Kreatívna </w:t>
      </w:r>
      <w:proofErr w:type="gramStart"/>
      <w:r w:rsidRPr="007B0A30">
        <w:t>práca ’</w:t>
      </w:r>
      <w:proofErr w:type="gramEnd"/>
      <w:r w:rsidRPr="007B0A30">
        <w:t xml:space="preserve"> je zaradená v mnohých sekciách rámca obzvlášť v sekciách ‘rozvoj myslenia’ a ‘rozvoj komunikácie’.</w:t>
      </w:r>
    </w:p>
    <w:p w:rsidR="0049211D" w:rsidRPr="007B0A30" w:rsidRDefault="0049211D" w:rsidP="0049211D">
      <w:r w:rsidRPr="007B0A30">
        <w:t xml:space="preserve">Dodatočne pre deti vo veku od troch do sedem rokov je základnou fázou Foundation </w:t>
      </w:r>
      <w:proofErr w:type="gramStart"/>
      <w:r w:rsidRPr="007B0A30">
        <w:t>Phase  nový</w:t>
      </w:r>
      <w:proofErr w:type="gramEnd"/>
      <w:r w:rsidRPr="007B0A30">
        <w:t xml:space="preserve"> prístup k učeniu zameriavaním sa na hru. Začala </w:t>
      </w:r>
      <w:proofErr w:type="gramStart"/>
      <w:r w:rsidRPr="007B0A30">
        <w:t>sa</w:t>
      </w:r>
      <w:proofErr w:type="gramEnd"/>
      <w:r w:rsidRPr="007B0A30">
        <w:t xml:space="preserve"> zavádzať od augusta 2008 a bude úplne implementovaná v roku 2011. Hodnotenie </w:t>
      </w:r>
      <w:proofErr w:type="gramStart"/>
      <w:r w:rsidRPr="007B0A30">
        <w:t>sa</w:t>
      </w:r>
      <w:proofErr w:type="gramEnd"/>
      <w:r w:rsidRPr="007B0A30">
        <w:t xml:space="preserve"> bude robiť pozorovaním detí učiteľom počas ich každodennej činnosti. </w:t>
      </w:r>
      <w:proofErr w:type="gramStart"/>
      <w:r w:rsidRPr="007B0A30">
        <w:t>Výstupy základnej fázy ‘Foundation Phase Outcomes’ sa začali vypracovávať na podporu hodnotenia učiteľom na konci fázy.</w:t>
      </w:r>
      <w:proofErr w:type="gramEnd"/>
      <w:r w:rsidRPr="007B0A30">
        <w:t xml:space="preserve"> Existuje šesť výstupov </w:t>
      </w:r>
      <w:proofErr w:type="gramStart"/>
      <w:r w:rsidRPr="007B0A30">
        <w:t>na</w:t>
      </w:r>
      <w:proofErr w:type="gramEnd"/>
      <w:r w:rsidRPr="007B0A30">
        <w:t xml:space="preserve"> jednu oblasť učenia a jedna oblasť špecificky pokrýva kreatívny rozvoj. Poskytuje kreatívne, imaginatívne </w:t>
      </w:r>
      <w:proofErr w:type="gramStart"/>
      <w:r w:rsidRPr="007B0A30">
        <w:t>a</w:t>
      </w:r>
      <w:proofErr w:type="gramEnd"/>
      <w:r w:rsidRPr="007B0A30">
        <w:t xml:space="preserve"> expresívne aktivity v umení, remeslách, dizajne, hudbe, tanci a pohybe. </w:t>
      </w:r>
    </w:p>
    <w:p w:rsidR="0049211D" w:rsidRPr="007B0A30" w:rsidRDefault="0049211D" w:rsidP="0049211D">
      <w:r w:rsidRPr="007B0A30">
        <w:t>&amp;4 Spojené kráľovstvo – Škótsko</w:t>
      </w:r>
    </w:p>
    <w:p w:rsidR="0049211D" w:rsidRPr="007B0A30" w:rsidRDefault="0049211D" w:rsidP="0049211D">
      <w:proofErr w:type="gramStart"/>
      <w:r w:rsidRPr="007B0A30">
        <w:t>Škótsko v súčasnosti implementuje významný a holistický prieskum kurikula pre 3-18-ročných, známy ako Kurikulum excelentnosti.</w:t>
      </w:r>
      <w:proofErr w:type="gramEnd"/>
      <w:r w:rsidRPr="007B0A30">
        <w:t xml:space="preserve"> V januári 2008 bolo vydaných niekoľko plánov </w:t>
      </w:r>
      <w:proofErr w:type="gramStart"/>
      <w:r w:rsidRPr="007B0A30">
        <w:t>na</w:t>
      </w:r>
      <w:proofErr w:type="gramEnd"/>
      <w:r w:rsidRPr="007B0A30">
        <w:t xml:space="preserve"> zapojenie školskej komunity zahrňujúc expresívne umenie, ktoré teraz pozostáva z umenia a dizajnu, tanca, drámy a hudby. </w:t>
      </w:r>
      <w:proofErr w:type="gramStart"/>
      <w:r w:rsidRPr="007B0A30">
        <w:t>Predbežné skúsenosti a výstupy boli vyhodnotené podľa procesu zainteresovanosti a finálne verzie budú zverejnené 2.</w:t>
      </w:r>
      <w:proofErr w:type="gramEnd"/>
      <w:r w:rsidRPr="007B0A30">
        <w:t xml:space="preserve"> </w:t>
      </w:r>
      <w:proofErr w:type="gramStart"/>
      <w:r w:rsidRPr="007B0A30">
        <w:t>aprila</w:t>
      </w:r>
      <w:proofErr w:type="gramEnd"/>
      <w:r w:rsidRPr="007B0A30">
        <w:t xml:space="preserve"> 2009. Školy začnú implementovať nové kurikulum </w:t>
      </w:r>
      <w:proofErr w:type="gramStart"/>
      <w:r w:rsidRPr="007B0A30">
        <w:t>od</w:t>
      </w:r>
      <w:proofErr w:type="gramEnd"/>
      <w:r w:rsidRPr="007B0A30">
        <w:t xml:space="preserve"> augusta 2009.</w:t>
      </w:r>
    </w:p>
    <w:p w:rsidR="0049211D" w:rsidRPr="007B0A30" w:rsidRDefault="0049211D" w:rsidP="0049211D">
      <w:r w:rsidRPr="007B0A30">
        <w:t>Podľa národného prieskumu kurikula (3-18) a publikovanie skúseností a výsledkov vo všetkých kurikulárnych oblastiach, bude pozornosť teraz zameraná na nové postupy pri hodnotení a kvalifikovanosti, aby sa zabezpečilo, že sú plne podporujúce ciele kurikula pre excelentnosť.</w:t>
      </w:r>
    </w:p>
    <w:p w:rsidR="0049211D" w:rsidRPr="007B0A30" w:rsidRDefault="0049211D" w:rsidP="0049211D">
      <w:r w:rsidRPr="007B0A30">
        <w:t>&amp;4 Island</w:t>
      </w:r>
    </w:p>
    <w:p w:rsidR="0049211D" w:rsidRPr="007B0A30" w:rsidRDefault="0049211D" w:rsidP="0049211D">
      <w:r w:rsidRPr="007B0A30">
        <w:t xml:space="preserve">Jednotný prieskum a hodnotenie umeleckého vzdelávania </w:t>
      </w:r>
      <w:proofErr w:type="gramStart"/>
      <w:r w:rsidRPr="007B0A30">
        <w:t>na</w:t>
      </w:r>
      <w:proofErr w:type="gramEnd"/>
      <w:r w:rsidRPr="007B0A30">
        <w:t xml:space="preserve"> všetkých úrovniach, predškolského, základného a stredoškolského vzdelávania, ako aj na špeciálnych umeleckých školách začali na jeseň 2008. Prieskum sa zakladal </w:t>
      </w:r>
      <w:proofErr w:type="gramStart"/>
      <w:r w:rsidRPr="007B0A30">
        <w:t>na  UNESCO</w:t>
      </w:r>
      <w:proofErr w:type="gramEnd"/>
      <w:r w:rsidRPr="007B0A30">
        <w:t xml:space="preserve"> usmernení umeleckého vzdelávania a pozostával najprv z prehľadu a údajov mapujúcich vzdelávací systém a na druhom mieste z  externého hodnotenia. Na základe očakávaných odporúčaní a podľa dodatkov zákona o školskom systéme zavedenom v roku 2008</w:t>
      </w:r>
      <w:proofErr w:type="gramStart"/>
      <w:r w:rsidRPr="007B0A30">
        <w:t>,  sa</w:t>
      </w:r>
      <w:proofErr w:type="gramEnd"/>
      <w:r w:rsidRPr="007B0A30">
        <w:t xml:space="preserve"> očakáva ďalšia reforma umeleckého vzdelávania a prieskum metodiky  národného kurikula pre umelecké predmety. Záverečná správa bude zverejnená </w:t>
      </w:r>
      <w:proofErr w:type="gramStart"/>
      <w:r w:rsidRPr="007B0A30">
        <w:t>na</w:t>
      </w:r>
      <w:proofErr w:type="gramEnd"/>
      <w:r w:rsidRPr="007B0A30">
        <w:t xml:space="preserve"> jeseň 2009 a bude k dispozícii v anglickom jazyku.</w:t>
      </w:r>
    </w:p>
    <w:p w:rsidR="0049211D" w:rsidRPr="007B0A30" w:rsidRDefault="0049211D" w:rsidP="0049211D">
      <w:r w:rsidRPr="007B0A30">
        <w:t xml:space="preserve">Dodatočne v roku 2008, nová legislatíva o povinnom vzdelávaní zaviedla okrem iného reformy súčasného režimu zabezpečovania kvality vrátane interného </w:t>
      </w:r>
      <w:proofErr w:type="gramStart"/>
      <w:r w:rsidRPr="007B0A30">
        <w:t>a</w:t>
      </w:r>
      <w:proofErr w:type="gramEnd"/>
      <w:r w:rsidRPr="007B0A30">
        <w:t xml:space="preserve"> externého hodnotenia.</w:t>
      </w:r>
    </w:p>
    <w:p w:rsidR="0049211D" w:rsidRPr="007B0A30" w:rsidRDefault="0049211D" w:rsidP="0049211D">
      <w:r w:rsidRPr="007B0A30">
        <w:t xml:space="preserve">Ďalej opäť v roku 2008, nová legislatíva o vzdelávaní učiteľov zaviedla hlavné reformy o vzdelávaní </w:t>
      </w:r>
      <w:proofErr w:type="gramStart"/>
      <w:r w:rsidRPr="007B0A30">
        <w:t>a</w:t>
      </w:r>
      <w:proofErr w:type="gramEnd"/>
      <w:r w:rsidRPr="007B0A30">
        <w:t xml:space="preserve"> odbornej príprave učiteľov. Všeobecným cieľom novej legislatívy je zlepšiť vzdelávanie učiteľov a odbornú prípravu špecialistov </w:t>
      </w:r>
      <w:proofErr w:type="gramStart"/>
      <w:r w:rsidRPr="007B0A30">
        <w:t>vo</w:t>
      </w:r>
      <w:proofErr w:type="gramEnd"/>
      <w:r w:rsidRPr="007B0A30">
        <w:t xml:space="preserve"> všetkých predmetoch vrátane umeleckých predmetov.</w:t>
      </w:r>
    </w:p>
    <w:p w:rsidR="0049211D" w:rsidRPr="007B0A30" w:rsidRDefault="0049211D" w:rsidP="0049211D">
      <w:r w:rsidRPr="007B0A30">
        <w:t>&amp;4 Lichtenštajnsko</w:t>
      </w:r>
    </w:p>
    <w:p w:rsidR="0049211D" w:rsidRPr="007B0A30" w:rsidRDefault="0049211D" w:rsidP="0049211D">
      <w:r w:rsidRPr="007B0A30">
        <w:t>Žiadne</w:t>
      </w:r>
    </w:p>
    <w:p w:rsidR="0049211D" w:rsidRPr="007B0A30" w:rsidRDefault="0049211D" w:rsidP="0049211D">
      <w:r w:rsidRPr="007B0A30">
        <w:t>&amp;4 Nórsko</w:t>
      </w:r>
    </w:p>
    <w:p w:rsidR="0049211D" w:rsidRPr="007B0A30" w:rsidRDefault="0049211D" w:rsidP="0049211D">
      <w:r w:rsidRPr="007B0A30">
        <w:t xml:space="preserve">Od roku 2009 je tu nová stratégia pre permanentný </w:t>
      </w:r>
      <w:proofErr w:type="gramStart"/>
      <w:r w:rsidRPr="007B0A30">
        <w:t>systém  formálneho</w:t>
      </w:r>
      <w:proofErr w:type="gramEnd"/>
      <w:r w:rsidRPr="007B0A30">
        <w:t xml:space="preserve"> CPD v Nórsku. V rámci tohto systému určité predmety majú </w:t>
      </w:r>
      <w:proofErr w:type="gramStart"/>
      <w:r w:rsidRPr="007B0A30">
        <w:t>národnú  prioritu</w:t>
      </w:r>
      <w:proofErr w:type="gramEnd"/>
      <w:r w:rsidRPr="007B0A30">
        <w:t xml:space="preserve">; ostatné predmety môžu získať prioritu v závislosti od miestnych potrieb. V prvej časti obdobia stratégie (2009-2012), umenie je spomínané ako súčasť predmetov, ktoré môžu byť vybraté na prioritu odbornej prípravy </w:t>
      </w:r>
      <w:proofErr w:type="gramStart"/>
      <w:r w:rsidRPr="007B0A30">
        <w:t>CPD  ak</w:t>
      </w:r>
      <w:proofErr w:type="gramEnd"/>
      <w:r w:rsidRPr="007B0A30">
        <w:t xml:space="preserve"> sa tak rozhodnú miestne inštitúcie.</w:t>
      </w:r>
    </w:p>
    <w:p w:rsidR="0049211D" w:rsidRPr="007B0A30" w:rsidRDefault="0049211D" w:rsidP="0049211D">
      <w:r w:rsidRPr="007B0A30">
        <w:t xml:space="preserve">Ďalej v apríli 2009, bola schválená biela kniha s Storting a nové vzdelávanie učiteľov </w:t>
      </w:r>
      <w:proofErr w:type="gramStart"/>
      <w:r w:rsidRPr="007B0A30">
        <w:t>základných  a</w:t>
      </w:r>
      <w:proofErr w:type="gramEnd"/>
      <w:r w:rsidRPr="007B0A30">
        <w:t xml:space="preserve"> nižších stredných škôl sa začalo rozvíjať. Začínajúc od jesenného semestra 2010, perspektívni učitelia sa budú vzdelávať podľa nového kurikula a </w:t>
      </w:r>
      <w:proofErr w:type="gramStart"/>
      <w:r w:rsidRPr="007B0A30">
        <w:t>kompetencie  učiteľa</w:t>
      </w:r>
      <w:proofErr w:type="gramEnd"/>
      <w:r w:rsidRPr="007B0A30">
        <w:t xml:space="preserve"> budú prispôsobené podľa nových predpisov. </w:t>
      </w:r>
      <w:proofErr w:type="gramStart"/>
      <w:r w:rsidRPr="007B0A30">
        <w:t>Je zrejmé, že vzdelávanie učiteľov v umeleckých predmetoch bude v tomto procese prehodnotené.</w:t>
      </w:r>
      <w:proofErr w:type="gramEnd"/>
      <w:r w:rsidRPr="007B0A30">
        <w:t xml:space="preserve"> </w:t>
      </w:r>
      <w:proofErr w:type="gramStart"/>
      <w:r w:rsidRPr="007B0A30">
        <w:t>Jedným príkladom je, že učitelia budú kvalifikovaní učiť predmety, v ktorých musia dosiahnuť najmenej 30 kreditov (pol roka štúdia).</w:t>
      </w:r>
      <w:proofErr w:type="gramEnd"/>
    </w:p>
    <w:p w:rsidR="0049211D" w:rsidRPr="007B0A30" w:rsidRDefault="0049211D" w:rsidP="0049211D"/>
    <w:p w:rsidR="0049211D" w:rsidRPr="007B0A30" w:rsidRDefault="0049211D" w:rsidP="0049211D">
      <w:pPr>
        <w:sectPr w:rsidR="0049211D" w:rsidRPr="007B0A30" w:rsidSect="007D6E9E">
          <w:headerReference w:type="default" r:id="rId28"/>
          <w:footerReference w:type="even" r:id="rId29"/>
          <w:footerReference w:type="default" r:id="rId30"/>
          <w:pgSz w:w="16840" w:h="11907" w:orient="landscape" w:code="9"/>
          <w:pgMar w:top="1134" w:right="567" w:bottom="1134" w:left="567" w:header="2268" w:footer="709" w:gutter="0"/>
          <w:cols w:space="708"/>
          <w:docGrid w:linePitch="360"/>
        </w:sectPr>
      </w:pPr>
    </w:p>
    <w:p w:rsidR="0049211D" w:rsidRPr="007B0A30" w:rsidRDefault="0049211D" w:rsidP="0049211D">
      <w:r w:rsidRPr="007B0A30">
        <w:t>&amp;1 Poďakovanie</w:t>
      </w:r>
    </w:p>
    <w:p w:rsidR="0049211D" w:rsidRPr="007B0A30" w:rsidRDefault="0049211D" w:rsidP="0049211D">
      <w:r w:rsidRPr="007B0A30">
        <w:t>//*</w:t>
      </w:r>
    </w:p>
    <w:p w:rsidR="0049211D" w:rsidRPr="007B0A30" w:rsidRDefault="0049211D" w:rsidP="0049211D">
      <w:r w:rsidRPr="007B0A30">
        <w:t xml:space="preserve">EDUCATION, AUDIOVISUAL AND CULTURE </w:t>
      </w:r>
      <w:r w:rsidRPr="007B0A30">
        <w:br/>
        <w:t>EXECUTIVE AGENCY</w:t>
      </w:r>
    </w:p>
    <w:p w:rsidR="0049211D" w:rsidRPr="007B0A30" w:rsidRDefault="0049211D" w:rsidP="0049211D">
      <w:r w:rsidRPr="007B0A30">
        <w:t>P9 EURYDICE</w:t>
      </w:r>
    </w:p>
    <w:p w:rsidR="0049211D" w:rsidRPr="007B0A30" w:rsidRDefault="0049211D" w:rsidP="0049211D">
      <w:r w:rsidRPr="007B0A30">
        <w:t>Avenue du Bourget 1 (BOU2</w:t>
      </w:r>
      <w:proofErr w:type="gramStart"/>
      <w:r w:rsidRPr="007B0A30">
        <w:t>)</w:t>
      </w:r>
      <w:proofErr w:type="gramEnd"/>
      <w:r w:rsidRPr="007B0A30">
        <w:br/>
        <w:t>B-1140 Brussels</w:t>
      </w:r>
      <w:r w:rsidRPr="007B0A30">
        <w:br/>
        <w:t>(http://www.eurydice.org)</w:t>
      </w:r>
    </w:p>
    <w:p w:rsidR="0049211D" w:rsidRPr="007B0A30" w:rsidRDefault="0049211D" w:rsidP="0049211D">
      <w:r w:rsidRPr="007B0A30">
        <w:t>Vedúci editor</w:t>
      </w:r>
    </w:p>
    <w:p w:rsidR="0049211D" w:rsidRPr="007B0A30" w:rsidRDefault="0049211D" w:rsidP="0049211D">
      <w:r w:rsidRPr="007B0A30">
        <w:t>Arlette Delhaxhe</w:t>
      </w:r>
    </w:p>
    <w:p w:rsidR="0049211D" w:rsidRPr="007B0A30" w:rsidRDefault="0049211D" w:rsidP="0049211D">
      <w:r w:rsidRPr="007B0A30">
        <w:t>Autori</w:t>
      </w:r>
    </w:p>
    <w:p w:rsidR="0049211D" w:rsidRPr="007B0A30" w:rsidRDefault="0049211D" w:rsidP="0049211D">
      <w:r w:rsidRPr="007B0A30">
        <w:t>Nathalie Baïdak (coordination); Anna Horvath</w:t>
      </w:r>
    </w:p>
    <w:p w:rsidR="0049211D" w:rsidRPr="007B0A30" w:rsidRDefault="0049211D" w:rsidP="0049211D">
      <w:r w:rsidRPr="007B0A30">
        <w:t xml:space="preserve">Externí experti a spoluautori </w:t>
      </w:r>
    </w:p>
    <w:p w:rsidR="0049211D" w:rsidRPr="007B0A30" w:rsidRDefault="0049211D" w:rsidP="0049211D">
      <w:r w:rsidRPr="007B0A30">
        <w:t>Caroline Sharp (NFER); Caroline Kearney (European Schoolnet)</w:t>
      </w:r>
    </w:p>
    <w:p w:rsidR="0049211D" w:rsidRPr="007B0A30" w:rsidRDefault="0049211D" w:rsidP="0049211D">
      <w:r w:rsidRPr="007B0A30">
        <w:t>Editovanie národných deskriptorov</w:t>
      </w:r>
    </w:p>
    <w:p w:rsidR="0049211D" w:rsidRPr="007B0A30" w:rsidRDefault="0049211D" w:rsidP="0049211D">
      <w:r w:rsidRPr="007B0A30">
        <w:t>Olga Borodankova, Ana Sofia De Almeida Coutinho, Daniela Kocanova</w:t>
      </w:r>
    </w:p>
    <w:p w:rsidR="0049211D" w:rsidRPr="007B0A30" w:rsidRDefault="0049211D" w:rsidP="0049211D">
      <w:r w:rsidRPr="007B0A30">
        <w:t xml:space="preserve">Úprava a grafika </w:t>
      </w:r>
    </w:p>
    <w:p w:rsidR="0049211D" w:rsidRPr="007B0A30" w:rsidRDefault="0049211D" w:rsidP="0049211D">
      <w:r w:rsidRPr="007B0A30">
        <w:t xml:space="preserve">Patrice Brel </w:t>
      </w:r>
    </w:p>
    <w:p w:rsidR="0049211D" w:rsidRPr="007B0A30" w:rsidRDefault="0049211D" w:rsidP="0049211D">
      <w:r w:rsidRPr="007B0A30">
        <w:t>Koordinátor výroby</w:t>
      </w:r>
    </w:p>
    <w:p w:rsidR="0049211D" w:rsidRPr="007B0A30" w:rsidRDefault="0049211D" w:rsidP="0049211D">
      <w:r w:rsidRPr="007B0A30">
        <w:t xml:space="preserve">Gisèle De Lel </w:t>
      </w:r>
    </w:p>
    <w:p w:rsidR="0049211D" w:rsidRPr="007B0A30" w:rsidRDefault="0049211D" w:rsidP="0049211D"/>
    <w:p w:rsidR="0049211D" w:rsidRPr="007B0A30" w:rsidRDefault="0049211D" w:rsidP="0049211D"/>
    <w:p w:rsidR="0049211D" w:rsidRPr="007B0A30" w:rsidRDefault="0049211D" w:rsidP="0049211D">
      <w:pPr>
        <w:sectPr w:rsidR="0049211D" w:rsidRPr="007B0A30" w:rsidSect="006A02B8">
          <w:pgSz w:w="16840" w:h="11907" w:orient="landscape" w:code="9"/>
          <w:pgMar w:top="1134" w:right="567" w:bottom="1134" w:left="567" w:header="2268" w:footer="709" w:gutter="0"/>
          <w:cols w:space="708"/>
          <w:titlePg/>
          <w:docGrid w:linePitch="360"/>
        </w:sectPr>
      </w:pPr>
      <w:r w:rsidRPr="007B0A30">
        <w:t>*//</w:t>
      </w:r>
    </w:p>
    <w:p w:rsidR="0049211D" w:rsidRPr="007B0A30" w:rsidRDefault="0049211D" w:rsidP="0049211D">
      <w:r w:rsidRPr="007B0A30">
        <w:t xml:space="preserve">&amp;3 Národné kancelárie EURYDICE </w:t>
      </w:r>
    </w:p>
    <w:p w:rsidR="0049211D" w:rsidRPr="007B0A30" w:rsidRDefault="0049211D" w:rsidP="0049211D">
      <w:pPr>
        <w:sectPr w:rsidR="0049211D" w:rsidRPr="007B0A30" w:rsidSect="006A02B8">
          <w:headerReference w:type="even" r:id="rId31"/>
          <w:headerReference w:type="default" r:id="rId32"/>
          <w:footerReference w:type="even" r:id="rId33"/>
          <w:footerReference w:type="default" r:id="rId34"/>
          <w:pgSz w:w="16840" w:h="11907" w:orient="landscape" w:code="9"/>
          <w:pgMar w:top="1134" w:right="567" w:bottom="1134" w:left="567" w:header="2268" w:footer="709" w:gutter="0"/>
          <w:cols w:sep="1" w:space="397"/>
        </w:sectPr>
      </w:pPr>
    </w:p>
    <w:p w:rsidR="0049211D" w:rsidRPr="007B0A30" w:rsidRDefault="0049211D" w:rsidP="0049211D">
      <w:r w:rsidRPr="007B0A30">
        <w:t>/x BELGICKO</w:t>
      </w:r>
    </w:p>
    <w:p w:rsidR="0049211D" w:rsidRPr="007B0A30" w:rsidRDefault="0049211D" w:rsidP="0049211D">
      <w:r w:rsidRPr="007B0A30">
        <w:t>Unité francophone d’Eurydice</w:t>
      </w:r>
    </w:p>
    <w:p w:rsidR="0049211D" w:rsidRPr="007B0A30" w:rsidRDefault="0049211D" w:rsidP="0049211D">
      <w:r w:rsidRPr="007B0A30">
        <w:t>Ministère de la Communauté française</w:t>
      </w:r>
    </w:p>
    <w:p w:rsidR="0049211D" w:rsidRPr="007B0A30" w:rsidRDefault="0049211D" w:rsidP="0049211D">
      <w:r w:rsidRPr="007B0A30">
        <w:t xml:space="preserve">Direction des Relations </w:t>
      </w:r>
      <w:proofErr w:type="gramStart"/>
      <w:r w:rsidRPr="007B0A30">
        <w:t>internationales</w:t>
      </w:r>
      <w:proofErr w:type="gramEnd"/>
    </w:p>
    <w:p w:rsidR="0049211D" w:rsidRPr="007B0A30" w:rsidRDefault="0049211D" w:rsidP="0049211D">
      <w:r w:rsidRPr="007B0A30">
        <w:t>Boulevard Léopold II, 44 – Bureau 6A/002</w:t>
      </w:r>
    </w:p>
    <w:p w:rsidR="0049211D" w:rsidRPr="007B0A30" w:rsidRDefault="0049211D" w:rsidP="0049211D">
      <w:r w:rsidRPr="007B0A30">
        <w:t>1080 Bruxelles</w:t>
      </w:r>
    </w:p>
    <w:p w:rsidR="0049211D" w:rsidRPr="007B0A30" w:rsidRDefault="0049211D" w:rsidP="0049211D">
      <w:r w:rsidRPr="007B0A30">
        <w:t xml:space="preserve">Príspevok za kanceláriu: spoločná zodpovednosť; </w:t>
      </w:r>
      <w:r w:rsidRPr="007B0A30">
        <w:br/>
        <w:t xml:space="preserve">experti: Roland Gerstmans, Maurice Demoulin: Inspection – Enseignement secondaire de plein exercice et/ou de l'enseignement secondaire en alternance </w:t>
      </w:r>
    </w:p>
    <w:p w:rsidR="0049211D" w:rsidRPr="007B0A30" w:rsidRDefault="0049211D" w:rsidP="0049211D"/>
    <w:p w:rsidR="0049211D" w:rsidRPr="007B0A30" w:rsidRDefault="0049211D" w:rsidP="0049211D">
      <w:r w:rsidRPr="007B0A30">
        <w:t>Eurydice Vlaanderen / Afdeling Internationale Relaties</w:t>
      </w:r>
    </w:p>
    <w:p w:rsidR="0049211D" w:rsidRPr="007B0A30" w:rsidRDefault="0049211D" w:rsidP="0049211D">
      <w:r w:rsidRPr="007B0A30">
        <w:t>Ministerie Onderwijs</w:t>
      </w:r>
    </w:p>
    <w:p w:rsidR="0049211D" w:rsidRPr="007B0A30" w:rsidRDefault="0049211D" w:rsidP="0049211D">
      <w:r w:rsidRPr="007B0A30">
        <w:t>Hendrik Consciencegebouw 7C10</w:t>
      </w:r>
    </w:p>
    <w:p w:rsidR="0049211D" w:rsidRPr="007B0A30" w:rsidRDefault="0049211D" w:rsidP="0049211D">
      <w:r w:rsidRPr="007B0A30">
        <w:t>Koning Albert II – laan 15</w:t>
      </w:r>
    </w:p>
    <w:p w:rsidR="0049211D" w:rsidRPr="007B0A30" w:rsidRDefault="0049211D" w:rsidP="0049211D">
      <w:r w:rsidRPr="007B0A30">
        <w:t>1210 Brussel</w:t>
      </w:r>
    </w:p>
    <w:p w:rsidR="0049211D" w:rsidRPr="007B0A30" w:rsidRDefault="0049211D" w:rsidP="0049211D">
      <w:r w:rsidRPr="007B0A30">
        <w:t>Príspevok za kanceláriu: spoločná zodpovednosť</w:t>
      </w:r>
    </w:p>
    <w:p w:rsidR="0049211D" w:rsidRPr="007B0A30" w:rsidRDefault="0049211D" w:rsidP="0049211D"/>
    <w:p w:rsidR="0049211D" w:rsidRPr="007D6E9E" w:rsidRDefault="0049211D" w:rsidP="0049211D">
      <w:pPr>
        <w:rPr>
          <w:rFonts w:eastAsia="Arial Unicode MS"/>
          <w:lang w:val="de-DE"/>
        </w:rPr>
      </w:pPr>
      <w:r w:rsidRPr="007D6E9E">
        <w:rPr>
          <w:lang w:val="de-DE"/>
        </w:rPr>
        <w:t>Eurydice-Informationsstelle der Deutschsprachigen Gemeinschaft</w:t>
      </w:r>
    </w:p>
    <w:p w:rsidR="0049211D" w:rsidRPr="007D6E9E" w:rsidRDefault="0049211D" w:rsidP="0049211D">
      <w:pPr>
        <w:rPr>
          <w:lang w:val="de-DE"/>
        </w:rPr>
      </w:pPr>
      <w:r w:rsidRPr="007D6E9E">
        <w:rPr>
          <w:lang w:val="de-DE"/>
        </w:rPr>
        <w:t>Agentur für Europäische Bildungsprogramme VoG</w:t>
      </w:r>
    </w:p>
    <w:p w:rsidR="0049211D" w:rsidRPr="007D6E9E" w:rsidRDefault="0049211D" w:rsidP="0049211D">
      <w:pPr>
        <w:rPr>
          <w:lang w:val="de-DE"/>
        </w:rPr>
      </w:pPr>
      <w:r w:rsidRPr="007D6E9E">
        <w:rPr>
          <w:lang w:val="de-DE"/>
        </w:rPr>
        <w:t>Postfach 72</w:t>
      </w:r>
    </w:p>
    <w:p w:rsidR="0049211D" w:rsidRPr="007D6E9E" w:rsidRDefault="0049211D" w:rsidP="0049211D">
      <w:pPr>
        <w:rPr>
          <w:lang w:val="de-DE"/>
        </w:rPr>
      </w:pPr>
      <w:r w:rsidRPr="007D6E9E">
        <w:rPr>
          <w:lang w:val="de-DE"/>
        </w:rPr>
        <w:t xml:space="preserve">4700 Eupen </w:t>
      </w:r>
    </w:p>
    <w:p w:rsidR="0049211D" w:rsidRPr="007D6E9E" w:rsidRDefault="0049211D" w:rsidP="0049211D">
      <w:pPr>
        <w:rPr>
          <w:lang w:val="de-DE"/>
        </w:rPr>
      </w:pPr>
      <w:r w:rsidRPr="007D6E9E">
        <w:rPr>
          <w:lang w:val="de-DE"/>
        </w:rPr>
        <w:t>Príspevok za kanceláriu: Leonhard Schifflers (expert)</w:t>
      </w:r>
    </w:p>
    <w:p w:rsidR="0049211D" w:rsidRPr="007B0A30" w:rsidRDefault="0049211D" w:rsidP="0049211D">
      <w:r w:rsidRPr="007B0A30">
        <w:t>BULHARSKO</w:t>
      </w:r>
    </w:p>
    <w:p w:rsidR="0049211D" w:rsidRPr="007B0A30" w:rsidRDefault="0049211D" w:rsidP="0049211D">
      <w:r w:rsidRPr="007B0A30">
        <w:t>Eurydice Unit</w:t>
      </w:r>
    </w:p>
    <w:p w:rsidR="0049211D" w:rsidRPr="007B0A30" w:rsidRDefault="0049211D" w:rsidP="0049211D">
      <w:r w:rsidRPr="007B0A30">
        <w:t>European Integration and International Organisations Division</w:t>
      </w:r>
    </w:p>
    <w:p w:rsidR="0049211D" w:rsidRPr="007B0A30" w:rsidRDefault="0049211D" w:rsidP="0049211D">
      <w:r w:rsidRPr="007B0A30">
        <w:t>European Integration and International Cooperation Department</w:t>
      </w:r>
    </w:p>
    <w:p w:rsidR="0049211D" w:rsidRPr="007B0A30" w:rsidRDefault="0049211D" w:rsidP="0049211D">
      <w:r w:rsidRPr="007B0A30">
        <w:t>Ministry of Education and Science</w:t>
      </w:r>
    </w:p>
    <w:p w:rsidR="0049211D" w:rsidRPr="007B0A30" w:rsidRDefault="0049211D" w:rsidP="0049211D">
      <w:proofErr w:type="gramStart"/>
      <w:r w:rsidRPr="007B0A30">
        <w:t>15, Graf Ignatiev Str.</w:t>
      </w:r>
      <w:proofErr w:type="gramEnd"/>
      <w:r w:rsidRPr="007B0A30">
        <w:t xml:space="preserve"> </w:t>
      </w:r>
    </w:p>
    <w:p w:rsidR="0049211D" w:rsidRDefault="0049211D" w:rsidP="0049211D"/>
    <w:p w:rsidR="0049211D" w:rsidRDefault="0049211D" w:rsidP="0049211D"/>
    <w:p w:rsidR="0049211D" w:rsidRPr="007B0A30" w:rsidRDefault="0049211D" w:rsidP="0049211D">
      <w:r w:rsidRPr="007B0A30">
        <w:t>1000 Sofia</w:t>
      </w:r>
    </w:p>
    <w:p w:rsidR="0049211D" w:rsidRPr="007B0A30" w:rsidRDefault="0049211D" w:rsidP="0049211D">
      <w:r w:rsidRPr="007B0A30">
        <w:t>Príspevok za kanceláriu: Armine Surabyan (expert, General Education Department)</w:t>
      </w:r>
    </w:p>
    <w:p w:rsidR="0049211D" w:rsidRPr="007B0A30" w:rsidRDefault="0049211D" w:rsidP="0049211D">
      <w:r w:rsidRPr="007B0A30">
        <w:sym w:font="Arial" w:char="010C"/>
      </w:r>
      <w:r w:rsidRPr="007B0A30">
        <w:t>ESKÁ REPUBLIKA</w:t>
      </w:r>
    </w:p>
    <w:p w:rsidR="0049211D" w:rsidRPr="007B0A30" w:rsidRDefault="0049211D" w:rsidP="0049211D">
      <w:r w:rsidRPr="007B0A30">
        <w:t>Eurydice Unit</w:t>
      </w:r>
    </w:p>
    <w:p w:rsidR="0049211D" w:rsidRPr="007B0A30" w:rsidRDefault="0049211D" w:rsidP="0049211D">
      <w:r w:rsidRPr="007B0A30">
        <w:t>Institute for Information on Education</w:t>
      </w:r>
    </w:p>
    <w:p w:rsidR="0049211D" w:rsidRPr="007B0A30" w:rsidRDefault="0049211D" w:rsidP="0049211D">
      <w:proofErr w:type="gramStart"/>
      <w:r w:rsidRPr="007B0A30">
        <w:t>Senovážné nám.</w:t>
      </w:r>
      <w:proofErr w:type="gramEnd"/>
      <w:r w:rsidRPr="007B0A30">
        <w:t xml:space="preserve"> 26</w:t>
      </w:r>
    </w:p>
    <w:p w:rsidR="0049211D" w:rsidRPr="007B0A30" w:rsidRDefault="0049211D" w:rsidP="0049211D">
      <w:r w:rsidRPr="007B0A30">
        <w:t>P.O. Box č.1</w:t>
      </w:r>
    </w:p>
    <w:p w:rsidR="0049211D" w:rsidRPr="007B0A30" w:rsidRDefault="0049211D" w:rsidP="0049211D">
      <w:r w:rsidRPr="007B0A30">
        <w:t>110 06 Praha 1</w:t>
      </w:r>
    </w:p>
    <w:p w:rsidR="0049211D" w:rsidRPr="007B0A30" w:rsidRDefault="0049211D" w:rsidP="0049211D">
      <w:r w:rsidRPr="007B0A30">
        <w:t>Príspevok za kanceláriu: Andrea Lajdová; expert: Jan Slavík</w:t>
      </w:r>
    </w:p>
    <w:p w:rsidR="0049211D" w:rsidRPr="007B0A30" w:rsidRDefault="0049211D" w:rsidP="0049211D">
      <w:r w:rsidRPr="007B0A30">
        <w:t>DÁNSKO</w:t>
      </w:r>
    </w:p>
    <w:p w:rsidR="0049211D" w:rsidRPr="007B0A30" w:rsidRDefault="0049211D" w:rsidP="0049211D">
      <w:r w:rsidRPr="007B0A30">
        <w:t>Eurydice Unit</w:t>
      </w:r>
    </w:p>
    <w:p w:rsidR="0049211D" w:rsidRPr="007B0A30" w:rsidRDefault="0049211D" w:rsidP="0049211D">
      <w:r w:rsidRPr="007B0A30">
        <w:t>CIRIUS</w:t>
      </w:r>
    </w:p>
    <w:p w:rsidR="0049211D" w:rsidRPr="007B0A30" w:rsidRDefault="0049211D" w:rsidP="0049211D">
      <w:r w:rsidRPr="007B0A30">
        <w:t>Fiolstr</w:t>
      </w:r>
      <w:r w:rsidRPr="007B0A30">
        <w:rPr>
          <w:rFonts w:eastAsia="Arial Unicode MS"/>
        </w:rPr>
        <w:t>æde 44</w:t>
      </w:r>
    </w:p>
    <w:p w:rsidR="0049211D" w:rsidRPr="007B0A30" w:rsidRDefault="0049211D" w:rsidP="0049211D">
      <w:r w:rsidRPr="007B0A30">
        <w:t>1171 København K</w:t>
      </w:r>
    </w:p>
    <w:p w:rsidR="0049211D" w:rsidRPr="007B0A30" w:rsidRDefault="0049211D" w:rsidP="0049211D">
      <w:r w:rsidRPr="007B0A30">
        <w:t xml:space="preserve">Príspevok za kanceláriu: spoločná zodpovednosť </w:t>
      </w:r>
      <w:r w:rsidRPr="007B0A30">
        <w:br w:type="column"/>
        <w:t>NEMECKO</w:t>
      </w:r>
    </w:p>
    <w:p w:rsidR="0049211D" w:rsidRPr="007D6E9E" w:rsidRDefault="0049211D" w:rsidP="0049211D">
      <w:pPr>
        <w:rPr>
          <w:lang w:val="de-DE"/>
        </w:rPr>
      </w:pPr>
      <w:r w:rsidRPr="007D6E9E">
        <w:rPr>
          <w:lang w:val="de-DE"/>
        </w:rPr>
        <w:t>Eurydice-Informationsstelle des Bundes</w:t>
      </w:r>
    </w:p>
    <w:p w:rsidR="0049211D" w:rsidRPr="007D6E9E" w:rsidRDefault="0049211D" w:rsidP="0049211D">
      <w:pPr>
        <w:rPr>
          <w:lang w:val="de-DE"/>
        </w:rPr>
      </w:pPr>
      <w:r w:rsidRPr="007D6E9E">
        <w:rPr>
          <w:lang w:val="de-DE"/>
        </w:rPr>
        <w:t>EU-Büro des Bundesministeriums für Bildung und Forschung (BMBF) / PT-DLR</w:t>
      </w:r>
    </w:p>
    <w:p w:rsidR="0049211D" w:rsidRPr="0049211D" w:rsidRDefault="0049211D" w:rsidP="0049211D">
      <w:pPr>
        <w:rPr>
          <w:lang w:val="de-DE"/>
        </w:rPr>
      </w:pPr>
      <w:r w:rsidRPr="0049211D">
        <w:rPr>
          <w:lang w:val="de-DE"/>
        </w:rPr>
        <w:t>Carnotstr. 5</w:t>
      </w:r>
    </w:p>
    <w:p w:rsidR="0049211D" w:rsidRPr="0049211D" w:rsidRDefault="0049211D" w:rsidP="0049211D">
      <w:pPr>
        <w:rPr>
          <w:lang w:val="de-DE"/>
        </w:rPr>
      </w:pPr>
      <w:r w:rsidRPr="0049211D">
        <w:rPr>
          <w:lang w:val="de-DE"/>
        </w:rPr>
        <w:t>10587 Berlin</w:t>
      </w:r>
    </w:p>
    <w:p w:rsidR="0049211D" w:rsidRPr="0049211D" w:rsidRDefault="0049211D" w:rsidP="0049211D">
      <w:pPr>
        <w:rPr>
          <w:lang w:val="de-DE"/>
        </w:rPr>
      </w:pPr>
    </w:p>
    <w:p w:rsidR="0049211D" w:rsidRPr="007D6E9E" w:rsidRDefault="0049211D" w:rsidP="0049211D">
      <w:pPr>
        <w:rPr>
          <w:lang w:val="de-DE"/>
        </w:rPr>
      </w:pPr>
      <w:r w:rsidRPr="007D6E9E">
        <w:rPr>
          <w:lang w:val="de-DE"/>
        </w:rPr>
        <w:t>Eurydice-Informationsstelle der Länder im Sekretariat der Kultusministerkonferenz</w:t>
      </w:r>
    </w:p>
    <w:p w:rsidR="0049211D" w:rsidRPr="007D6E9E" w:rsidRDefault="0049211D" w:rsidP="0049211D">
      <w:pPr>
        <w:rPr>
          <w:lang w:val="de-DE"/>
        </w:rPr>
      </w:pPr>
      <w:r w:rsidRPr="007D6E9E">
        <w:rPr>
          <w:lang w:val="de-DE"/>
        </w:rPr>
        <w:t>Lennéstrasse 6</w:t>
      </w:r>
    </w:p>
    <w:p w:rsidR="0049211D" w:rsidRPr="007D6E9E" w:rsidRDefault="0049211D" w:rsidP="0049211D">
      <w:pPr>
        <w:rPr>
          <w:lang w:val="de-DE"/>
        </w:rPr>
      </w:pPr>
      <w:r w:rsidRPr="007D6E9E">
        <w:rPr>
          <w:lang w:val="de-DE"/>
        </w:rPr>
        <w:t>53113 Bonn</w:t>
      </w:r>
    </w:p>
    <w:p w:rsidR="0049211D" w:rsidRPr="007D6E9E" w:rsidRDefault="0049211D" w:rsidP="0049211D">
      <w:pPr>
        <w:rPr>
          <w:lang w:val="de-DE"/>
        </w:rPr>
      </w:pPr>
      <w:r w:rsidRPr="007D6E9E">
        <w:rPr>
          <w:lang w:val="de-DE"/>
        </w:rPr>
        <w:t xml:space="preserve">Príspevok za kanceláriu: Brigitte Lohmar </w:t>
      </w:r>
    </w:p>
    <w:p w:rsidR="0049211D" w:rsidRPr="007B0A30" w:rsidRDefault="0049211D" w:rsidP="0049211D">
      <w:r w:rsidRPr="007B0A30">
        <w:t>ESTÓNSKO</w:t>
      </w:r>
    </w:p>
    <w:p w:rsidR="0049211D" w:rsidRPr="007B0A30" w:rsidRDefault="0049211D" w:rsidP="0049211D">
      <w:r w:rsidRPr="007B0A30">
        <w:t>Eurydice Unit</w:t>
      </w:r>
    </w:p>
    <w:p w:rsidR="0049211D" w:rsidRPr="007B0A30" w:rsidRDefault="0049211D" w:rsidP="0049211D">
      <w:r w:rsidRPr="007B0A30">
        <w:t>SA Archimedes</w:t>
      </w:r>
    </w:p>
    <w:p w:rsidR="0049211D" w:rsidRPr="007B0A30" w:rsidRDefault="0049211D" w:rsidP="0049211D">
      <w:r w:rsidRPr="007B0A30">
        <w:t>Koidula 13A</w:t>
      </w:r>
    </w:p>
    <w:p w:rsidR="0049211D" w:rsidRPr="007B0A30" w:rsidRDefault="0049211D" w:rsidP="0049211D">
      <w:r w:rsidRPr="007B0A30">
        <w:t>10125 Tallinn</w:t>
      </w:r>
    </w:p>
    <w:p w:rsidR="0049211D" w:rsidRPr="007B0A30" w:rsidRDefault="0049211D" w:rsidP="0049211D">
      <w:r w:rsidRPr="007B0A30">
        <w:t xml:space="preserve">Príspevok za kanceláriu: expert: Anu Tuulmets (Lecturer, Tallinn University, </w:t>
      </w:r>
      <w:proofErr w:type="gramStart"/>
      <w:r w:rsidRPr="007B0A30">
        <w:t>Institute</w:t>
      </w:r>
      <w:proofErr w:type="gramEnd"/>
      <w:r w:rsidRPr="007B0A30">
        <w:t xml:space="preserve"> of Arts)</w:t>
      </w:r>
    </w:p>
    <w:p w:rsidR="0049211D" w:rsidRPr="007B0A30" w:rsidRDefault="0049211D" w:rsidP="0049211D">
      <w:r w:rsidRPr="007B0A30">
        <w:t>ÍRSKO</w:t>
      </w:r>
    </w:p>
    <w:p w:rsidR="0049211D" w:rsidRPr="007B0A30" w:rsidRDefault="0049211D" w:rsidP="0049211D">
      <w:r w:rsidRPr="007B0A30">
        <w:t>Eurydice Unit</w:t>
      </w:r>
    </w:p>
    <w:p w:rsidR="0049211D" w:rsidRPr="007B0A30" w:rsidRDefault="0049211D" w:rsidP="0049211D">
      <w:r w:rsidRPr="007B0A30">
        <w:t>Department of Education and Science</w:t>
      </w:r>
    </w:p>
    <w:p w:rsidR="0049211D" w:rsidRPr="007B0A30" w:rsidRDefault="0049211D" w:rsidP="0049211D">
      <w:r w:rsidRPr="007B0A30">
        <w:t>International Section</w:t>
      </w:r>
    </w:p>
    <w:p w:rsidR="0049211D" w:rsidRPr="007B0A30" w:rsidRDefault="0049211D" w:rsidP="0049211D">
      <w:r w:rsidRPr="007B0A30">
        <w:t xml:space="preserve">Marlborough Street </w:t>
      </w:r>
    </w:p>
    <w:p w:rsidR="0049211D" w:rsidRPr="007B0A30" w:rsidRDefault="0049211D" w:rsidP="0049211D">
      <w:r w:rsidRPr="007B0A30">
        <w:t>Dublin 1</w:t>
      </w:r>
    </w:p>
    <w:p w:rsidR="0049211D" w:rsidRPr="007B0A30" w:rsidRDefault="0049211D" w:rsidP="0049211D">
      <w:r w:rsidRPr="007B0A30">
        <w:t xml:space="preserve">Príspevok za kanceláriu: spoločná zodpovednosť </w:t>
      </w:r>
    </w:p>
    <w:p w:rsidR="0049211D" w:rsidRPr="007B0A30" w:rsidRDefault="0049211D" w:rsidP="0049211D">
      <w:r w:rsidRPr="007B0A30">
        <w:t>GRÉCKO</w:t>
      </w:r>
    </w:p>
    <w:p w:rsidR="0049211D" w:rsidRPr="007B0A30" w:rsidRDefault="0049211D" w:rsidP="0049211D">
      <w:r w:rsidRPr="007B0A30">
        <w:t>Eurydice Unit</w:t>
      </w:r>
    </w:p>
    <w:p w:rsidR="0049211D" w:rsidRPr="007B0A30" w:rsidRDefault="0049211D" w:rsidP="0049211D">
      <w:r w:rsidRPr="007B0A30">
        <w:t>Ministry of National Education and Religious Affairs</w:t>
      </w:r>
    </w:p>
    <w:p w:rsidR="0049211D" w:rsidRPr="007B0A30" w:rsidRDefault="0049211D" w:rsidP="0049211D">
      <w:r w:rsidRPr="007B0A30">
        <w:t>Directorate of European Union Affairs</w:t>
      </w:r>
    </w:p>
    <w:p w:rsidR="0049211D" w:rsidRPr="007B0A30" w:rsidRDefault="0049211D" w:rsidP="0049211D">
      <w:r w:rsidRPr="007B0A30">
        <w:t>Section C ‘Eurydice’</w:t>
      </w:r>
    </w:p>
    <w:p w:rsidR="0049211D" w:rsidRPr="007B0A30" w:rsidRDefault="0049211D" w:rsidP="0049211D">
      <w:r w:rsidRPr="007B0A30">
        <w:t>37 Andrea Papandreou Str. (Office 2168)</w:t>
      </w:r>
    </w:p>
    <w:p w:rsidR="0049211D" w:rsidRPr="007B0A30" w:rsidRDefault="0049211D" w:rsidP="0049211D">
      <w:r w:rsidRPr="007B0A30">
        <w:t>15180 Maroussi (Attiki)</w:t>
      </w:r>
    </w:p>
    <w:p w:rsidR="0049211D" w:rsidRPr="007B0A30" w:rsidRDefault="0049211D" w:rsidP="0049211D">
      <w:r w:rsidRPr="007B0A30">
        <w:t>Príspevok za kanceláriu: Athina Plessa-Papadaki (Head of the Directorate for European Union Affairs), Litsa Mimoussi</w:t>
      </w:r>
    </w:p>
    <w:p w:rsidR="0049211D" w:rsidRPr="007B0A30" w:rsidRDefault="0049211D" w:rsidP="0049211D">
      <w:r w:rsidRPr="007B0A30">
        <w:t>ŠPANIELSKO</w:t>
      </w:r>
    </w:p>
    <w:p w:rsidR="0049211D" w:rsidRPr="007B0A30" w:rsidRDefault="0049211D" w:rsidP="0049211D">
      <w:r w:rsidRPr="007B0A30">
        <w:t>Unidad Española de Eurydice</w:t>
      </w:r>
    </w:p>
    <w:p w:rsidR="0049211D" w:rsidRPr="007B0A30" w:rsidRDefault="0049211D" w:rsidP="0049211D">
      <w:r w:rsidRPr="007B0A30">
        <w:t>Centro de Investigación y Documentación Educativa (CIDE)</w:t>
      </w:r>
    </w:p>
    <w:p w:rsidR="0049211D" w:rsidRPr="007B0A30" w:rsidRDefault="0049211D" w:rsidP="0049211D">
      <w:r w:rsidRPr="007B0A30">
        <w:t>Ministerio de Educación</w:t>
      </w:r>
    </w:p>
    <w:p w:rsidR="0049211D" w:rsidRPr="007B0A30" w:rsidRDefault="0049211D" w:rsidP="0049211D">
      <w:proofErr w:type="gramStart"/>
      <w:r w:rsidRPr="007B0A30">
        <w:t>c/General</w:t>
      </w:r>
      <w:proofErr w:type="gramEnd"/>
      <w:r w:rsidRPr="007B0A30">
        <w:t xml:space="preserve"> Oraa 55</w:t>
      </w:r>
    </w:p>
    <w:p w:rsidR="0049211D" w:rsidRPr="007B0A30" w:rsidRDefault="0049211D" w:rsidP="0049211D">
      <w:r w:rsidRPr="007B0A30">
        <w:t>28006 Madrid</w:t>
      </w:r>
    </w:p>
    <w:p w:rsidR="0049211D" w:rsidRPr="007B0A30" w:rsidRDefault="0049211D" w:rsidP="0049211D">
      <w:r w:rsidRPr="007B0A30">
        <w:t>Príspevok za kanceláriu: spoločná zodpovednosť</w:t>
      </w:r>
    </w:p>
    <w:p w:rsidR="0049211D" w:rsidRPr="007B0A30" w:rsidRDefault="0049211D" w:rsidP="0049211D">
      <w:r w:rsidRPr="007B0A30">
        <w:br w:type="column"/>
        <w:t>FRANCÚZSKO</w:t>
      </w:r>
    </w:p>
    <w:p w:rsidR="0049211D" w:rsidRPr="007B0A30" w:rsidRDefault="0049211D" w:rsidP="0049211D">
      <w:r w:rsidRPr="007B0A30">
        <w:t>Unité française d’Eurydice</w:t>
      </w:r>
    </w:p>
    <w:p w:rsidR="0049211D" w:rsidRPr="007B0A30" w:rsidRDefault="0049211D" w:rsidP="0049211D">
      <w:r w:rsidRPr="007B0A30">
        <w:t xml:space="preserve">Ministère de l'Éducation nationale, de l’Enseignement supérieur </w:t>
      </w:r>
      <w:proofErr w:type="gramStart"/>
      <w:r w:rsidRPr="007B0A30">
        <w:t>et</w:t>
      </w:r>
      <w:proofErr w:type="gramEnd"/>
      <w:r w:rsidRPr="007B0A30">
        <w:t xml:space="preserve"> de la Recherche</w:t>
      </w:r>
    </w:p>
    <w:p w:rsidR="0049211D" w:rsidRPr="007B0A30" w:rsidRDefault="0049211D" w:rsidP="0049211D">
      <w:r w:rsidRPr="007B0A30">
        <w:t xml:space="preserve">Direction de l’évaluation, de la prospective </w:t>
      </w:r>
      <w:proofErr w:type="gramStart"/>
      <w:r w:rsidRPr="007B0A30">
        <w:t>et</w:t>
      </w:r>
      <w:proofErr w:type="gramEnd"/>
      <w:r w:rsidRPr="007B0A30">
        <w:t xml:space="preserve"> de la performance</w:t>
      </w:r>
    </w:p>
    <w:p w:rsidR="0049211D" w:rsidRPr="007D6E9E" w:rsidRDefault="0049211D" w:rsidP="0049211D">
      <w:pPr>
        <w:rPr>
          <w:lang w:val="de-DE"/>
        </w:rPr>
      </w:pPr>
      <w:r w:rsidRPr="007D6E9E">
        <w:rPr>
          <w:lang w:val="de-DE"/>
        </w:rPr>
        <w:t>Mission aux relations européennes et internationales</w:t>
      </w:r>
    </w:p>
    <w:p w:rsidR="0049211D" w:rsidRPr="007B0A30" w:rsidRDefault="0049211D" w:rsidP="0049211D">
      <w:r w:rsidRPr="007B0A30">
        <w:t>61-65, rue Dutot</w:t>
      </w:r>
    </w:p>
    <w:p w:rsidR="0049211D" w:rsidRPr="007B0A30" w:rsidRDefault="0049211D" w:rsidP="0049211D">
      <w:r w:rsidRPr="007B0A30">
        <w:t>75732 Paris Cedex 15</w:t>
      </w:r>
    </w:p>
    <w:p w:rsidR="0049211D" w:rsidRPr="007B0A30" w:rsidRDefault="0049211D" w:rsidP="0049211D">
      <w:r w:rsidRPr="007B0A30">
        <w:t xml:space="preserve">Príspevok za kanceláriu: Thierry Damour; </w:t>
      </w:r>
      <w:r w:rsidRPr="007B0A30">
        <w:br/>
        <w:t>expert: Vincent Maestracci (Inspecteur général de l'éducation nationale – IGEN)</w:t>
      </w:r>
    </w:p>
    <w:p w:rsidR="0049211D" w:rsidRPr="007B0A30" w:rsidRDefault="0049211D" w:rsidP="0049211D">
      <w:r w:rsidRPr="007B0A30">
        <w:t>ISLAND</w:t>
      </w:r>
    </w:p>
    <w:p w:rsidR="0049211D" w:rsidRPr="007B0A30" w:rsidRDefault="0049211D" w:rsidP="0049211D">
      <w:r w:rsidRPr="007B0A30">
        <w:t>Eurydice Unit</w:t>
      </w:r>
    </w:p>
    <w:p w:rsidR="0049211D" w:rsidRPr="007B0A30" w:rsidRDefault="0049211D" w:rsidP="0049211D">
      <w:r w:rsidRPr="007B0A30">
        <w:t>Ministry of Education, Science and Culture</w:t>
      </w:r>
    </w:p>
    <w:p w:rsidR="0049211D" w:rsidRPr="007B0A30" w:rsidRDefault="0049211D" w:rsidP="0049211D">
      <w:r w:rsidRPr="007B0A30">
        <w:t>Office of Evaluation and Analysis</w:t>
      </w:r>
    </w:p>
    <w:p w:rsidR="0049211D" w:rsidRPr="007B0A30" w:rsidRDefault="0049211D" w:rsidP="0049211D">
      <w:r w:rsidRPr="007B0A30">
        <w:t>Sölvhólsgötu 4</w:t>
      </w:r>
    </w:p>
    <w:p w:rsidR="0049211D" w:rsidRPr="007B0A30" w:rsidRDefault="0049211D" w:rsidP="0049211D">
      <w:r w:rsidRPr="007B0A30">
        <w:t>150 Reykjavik</w:t>
      </w:r>
    </w:p>
    <w:p w:rsidR="0049211D" w:rsidRPr="007B0A30" w:rsidRDefault="0049211D" w:rsidP="0049211D">
      <w:r w:rsidRPr="007B0A30">
        <w:t>Príspevok za kanceláriu: Gunnar J. Árnason</w:t>
      </w:r>
    </w:p>
    <w:p w:rsidR="0049211D" w:rsidRPr="007B0A30" w:rsidRDefault="0049211D" w:rsidP="0049211D">
      <w:r w:rsidRPr="007B0A30">
        <w:t>TALIANSKO</w:t>
      </w:r>
    </w:p>
    <w:p w:rsidR="0049211D" w:rsidRPr="007B0A30" w:rsidRDefault="0049211D" w:rsidP="0049211D">
      <w:r w:rsidRPr="007B0A30">
        <w:t>Unità italiana di Eurydice</w:t>
      </w:r>
    </w:p>
    <w:p w:rsidR="0049211D" w:rsidRPr="007B0A30" w:rsidRDefault="0049211D" w:rsidP="0049211D">
      <w:r w:rsidRPr="007B0A30">
        <w:t>Agenzia Nazionale per lo Sviluppo dell’Autonomia Scolastica (ex INDIRE)</w:t>
      </w:r>
    </w:p>
    <w:p w:rsidR="0049211D" w:rsidRPr="007D6E9E" w:rsidRDefault="0049211D" w:rsidP="0049211D">
      <w:pPr>
        <w:rPr>
          <w:lang w:val="de-DE"/>
        </w:rPr>
      </w:pPr>
      <w:r w:rsidRPr="007D6E9E">
        <w:rPr>
          <w:lang w:val="de-DE"/>
        </w:rPr>
        <w:t xml:space="preserve">Ministero dell’Istruzione, dell'Università e della Ricerca </w:t>
      </w:r>
    </w:p>
    <w:p w:rsidR="0049211D" w:rsidRPr="007D6E9E" w:rsidRDefault="0049211D" w:rsidP="0049211D">
      <w:pPr>
        <w:rPr>
          <w:lang w:val="de-DE"/>
        </w:rPr>
      </w:pPr>
      <w:r w:rsidRPr="007D6E9E">
        <w:rPr>
          <w:lang w:val="de-DE"/>
        </w:rPr>
        <w:t>Via Magliabechi 1</w:t>
      </w:r>
    </w:p>
    <w:p w:rsidR="0049211D" w:rsidRPr="007D6E9E" w:rsidRDefault="0049211D" w:rsidP="0049211D">
      <w:pPr>
        <w:rPr>
          <w:lang w:val="de-DE"/>
        </w:rPr>
      </w:pPr>
      <w:r w:rsidRPr="007D6E9E">
        <w:rPr>
          <w:lang w:val="de-DE"/>
        </w:rPr>
        <w:t>50122 Firenze</w:t>
      </w:r>
    </w:p>
    <w:p w:rsidR="0049211D" w:rsidRPr="007D6E9E" w:rsidRDefault="0049211D" w:rsidP="0049211D">
      <w:pPr>
        <w:rPr>
          <w:lang w:val="de-DE"/>
        </w:rPr>
      </w:pPr>
      <w:r w:rsidRPr="007D6E9E">
        <w:rPr>
          <w:lang w:val="de-DE"/>
        </w:rPr>
        <w:t>Príspevok za kanceláriu: Alessandra Mochi; experts: Gaetano Cinque (Dirigente Scolastico, Liceo Scientifico 'Annibale Calini', Brescia); Rolando Meconi (Dirigente scolastico istruzione artistica, DG per gli ordinamenti del sistema nazionale di istruzione e per l’autonomia scolastica – MIUR)</w:t>
      </w:r>
    </w:p>
    <w:p w:rsidR="0049211D" w:rsidRPr="007B0A30" w:rsidRDefault="0049211D" w:rsidP="0049211D">
      <w:r w:rsidRPr="007B0A30">
        <w:t>CYPRUS</w:t>
      </w:r>
    </w:p>
    <w:p w:rsidR="0049211D" w:rsidRPr="007B0A30" w:rsidRDefault="0049211D" w:rsidP="0049211D">
      <w:r w:rsidRPr="007B0A30">
        <w:t>Eurydice Unit</w:t>
      </w:r>
    </w:p>
    <w:p w:rsidR="0049211D" w:rsidRPr="007B0A30" w:rsidRDefault="0049211D" w:rsidP="0049211D">
      <w:r w:rsidRPr="007B0A30">
        <w:t>Ministry of Education and Culture</w:t>
      </w:r>
    </w:p>
    <w:p w:rsidR="0049211D" w:rsidRPr="007B0A30" w:rsidRDefault="0049211D" w:rsidP="0049211D">
      <w:r w:rsidRPr="007B0A30">
        <w:t>Kimonos and Thoukydidou</w:t>
      </w:r>
    </w:p>
    <w:p w:rsidR="0049211D" w:rsidRPr="007B0A30" w:rsidRDefault="0049211D" w:rsidP="0049211D">
      <w:r w:rsidRPr="007B0A30">
        <w:t>1434 Nicosia</w:t>
      </w:r>
    </w:p>
    <w:p w:rsidR="0049211D" w:rsidRPr="007B0A30" w:rsidRDefault="0049211D" w:rsidP="0049211D">
      <w:r w:rsidRPr="007B0A30">
        <w:t xml:space="preserve">Príspevok za kanceláriu: Christiana Haperi; </w:t>
      </w:r>
      <w:r w:rsidRPr="007B0A30">
        <w:br/>
        <w:t xml:space="preserve">expert: Eliza Pitri (Assistant Professor of Art Education, School of Education, </w:t>
      </w:r>
      <w:proofErr w:type="gramStart"/>
      <w:r w:rsidRPr="007B0A30">
        <w:t>University</w:t>
      </w:r>
      <w:proofErr w:type="gramEnd"/>
      <w:r w:rsidRPr="007B0A30">
        <w:t xml:space="preserve"> of Nicosia)</w:t>
      </w:r>
    </w:p>
    <w:p w:rsidR="0049211D" w:rsidRPr="007B0A30" w:rsidRDefault="0049211D" w:rsidP="0049211D">
      <w:r w:rsidRPr="007B0A30">
        <w:t>LOTYŠSKO</w:t>
      </w:r>
    </w:p>
    <w:p w:rsidR="0049211D" w:rsidRPr="007B0A30" w:rsidRDefault="0049211D" w:rsidP="0049211D">
      <w:r w:rsidRPr="007B0A30">
        <w:t>Eurydice Unit</w:t>
      </w:r>
    </w:p>
    <w:p w:rsidR="0049211D" w:rsidRPr="007B0A30" w:rsidRDefault="0049211D" w:rsidP="0049211D">
      <w:r w:rsidRPr="007B0A30">
        <w:t>LLP National Agency – Academic Programme Agency</w:t>
      </w:r>
    </w:p>
    <w:p w:rsidR="0049211D" w:rsidRPr="007B0A30" w:rsidRDefault="0049211D" w:rsidP="0049211D">
      <w:r w:rsidRPr="007B0A30">
        <w:t>Blauma</w:t>
      </w:r>
      <w:r w:rsidRPr="007B0A30">
        <w:rPr>
          <w:rFonts w:eastAsia="Arial Unicode MS"/>
        </w:rPr>
        <w:t>ņ</w:t>
      </w:r>
      <w:r w:rsidRPr="007B0A30">
        <w:t>a iela 22</w:t>
      </w:r>
    </w:p>
    <w:p w:rsidR="0049211D" w:rsidRPr="007B0A30" w:rsidRDefault="0049211D" w:rsidP="0049211D">
      <w:r w:rsidRPr="007B0A30">
        <w:t>1011 Riga</w:t>
      </w:r>
    </w:p>
    <w:p w:rsidR="0049211D" w:rsidRPr="007B0A30" w:rsidRDefault="0049211D" w:rsidP="0049211D">
      <w:r w:rsidRPr="007B0A30">
        <w:t xml:space="preserve">Príspevok za kanceláriu: Viktors Kravčenko; </w:t>
      </w:r>
      <w:r w:rsidRPr="007B0A30">
        <w:br/>
        <w:t>experti: Aiva Neimane (Literature education content specialist) a Ilze Kadiķe (Visual art content specialist) both from the Centre for State Education Content (previously Centre for Curriculum Development and Examinations)</w:t>
      </w:r>
    </w:p>
    <w:p w:rsidR="0049211D" w:rsidRPr="007B0A30" w:rsidRDefault="0049211D" w:rsidP="0049211D"/>
    <w:p w:rsidR="0049211D" w:rsidRPr="007B0A30" w:rsidRDefault="0049211D" w:rsidP="0049211D">
      <w:pPr>
        <w:rPr>
          <w:rFonts w:eastAsia="Arial Unicode MS"/>
        </w:rPr>
      </w:pPr>
    </w:p>
    <w:p w:rsidR="0049211D" w:rsidRPr="0049211D" w:rsidRDefault="0049211D" w:rsidP="0049211D">
      <w:pPr>
        <w:rPr>
          <w:lang w:val="de-DE"/>
        </w:rPr>
      </w:pPr>
      <w:r w:rsidRPr="00392E01">
        <w:rPr>
          <w:lang w:val="de-DE"/>
        </w:rPr>
        <w:br w:type="column"/>
      </w:r>
      <w:r w:rsidRPr="0049211D">
        <w:rPr>
          <w:lang w:val="de-DE"/>
        </w:rPr>
        <w:t>LICHTENŠTAJNSKO</w:t>
      </w:r>
    </w:p>
    <w:p w:rsidR="0049211D" w:rsidRPr="0049211D" w:rsidRDefault="0049211D" w:rsidP="0049211D">
      <w:pPr>
        <w:rPr>
          <w:lang w:val="de-DE"/>
        </w:rPr>
      </w:pPr>
      <w:r w:rsidRPr="0049211D">
        <w:rPr>
          <w:lang w:val="de-DE"/>
        </w:rPr>
        <w:t>Informationsstelle Eurydice</w:t>
      </w:r>
    </w:p>
    <w:p w:rsidR="0049211D" w:rsidRPr="007D6E9E" w:rsidRDefault="0049211D" w:rsidP="0049211D">
      <w:pPr>
        <w:rPr>
          <w:lang w:val="de-DE"/>
        </w:rPr>
      </w:pPr>
      <w:r w:rsidRPr="007D6E9E">
        <w:rPr>
          <w:lang w:val="de-DE"/>
        </w:rPr>
        <w:t>Schulamt</w:t>
      </w:r>
    </w:p>
    <w:p w:rsidR="0049211D" w:rsidRPr="007D6E9E" w:rsidRDefault="0049211D" w:rsidP="0049211D">
      <w:pPr>
        <w:rPr>
          <w:lang w:val="de-DE"/>
        </w:rPr>
      </w:pPr>
      <w:r w:rsidRPr="007D6E9E">
        <w:rPr>
          <w:lang w:val="de-DE"/>
        </w:rPr>
        <w:t>Austrasse 79</w:t>
      </w:r>
    </w:p>
    <w:p w:rsidR="0049211D" w:rsidRPr="0049211D" w:rsidRDefault="0049211D" w:rsidP="0049211D">
      <w:pPr>
        <w:rPr>
          <w:lang w:val="en-US"/>
        </w:rPr>
      </w:pPr>
      <w:r w:rsidRPr="0049211D">
        <w:rPr>
          <w:lang w:val="en-US"/>
        </w:rPr>
        <w:t>9490 Vaduz</w:t>
      </w:r>
    </w:p>
    <w:p w:rsidR="0049211D" w:rsidRPr="0049211D" w:rsidRDefault="0049211D" w:rsidP="0049211D">
      <w:pPr>
        <w:rPr>
          <w:lang w:val="en-US"/>
        </w:rPr>
      </w:pPr>
      <w:r w:rsidRPr="0049211D">
        <w:rPr>
          <w:lang w:val="en-US"/>
        </w:rPr>
        <w:t xml:space="preserve">Príspevok za </w:t>
      </w:r>
      <w:proofErr w:type="gramStart"/>
      <w:r w:rsidRPr="0049211D">
        <w:rPr>
          <w:lang w:val="en-US"/>
        </w:rPr>
        <w:t>kanceláriu :</w:t>
      </w:r>
      <w:proofErr w:type="gramEnd"/>
      <w:r w:rsidRPr="0049211D">
        <w:rPr>
          <w:lang w:val="en-US"/>
        </w:rPr>
        <w:t xml:space="preserve"> Marion Steffens-Fisler </w:t>
      </w:r>
    </w:p>
    <w:p w:rsidR="0049211D" w:rsidRPr="007B0A30" w:rsidRDefault="0049211D" w:rsidP="0049211D">
      <w:r w:rsidRPr="007B0A30">
        <w:t>LITVA</w:t>
      </w:r>
    </w:p>
    <w:p w:rsidR="0049211D" w:rsidRPr="007B0A30" w:rsidRDefault="0049211D" w:rsidP="0049211D">
      <w:r w:rsidRPr="007B0A30">
        <w:t>Eurydice Unit</w:t>
      </w:r>
    </w:p>
    <w:p w:rsidR="0049211D" w:rsidRPr="007B0A30" w:rsidRDefault="0049211D" w:rsidP="0049211D">
      <w:r w:rsidRPr="007B0A30">
        <w:t>Ministry of Education and Science</w:t>
      </w:r>
    </w:p>
    <w:p w:rsidR="0049211D" w:rsidRPr="007B0A30" w:rsidRDefault="0049211D" w:rsidP="0049211D">
      <w:r w:rsidRPr="007B0A30">
        <w:t>A. Volano g. 2/7</w:t>
      </w:r>
    </w:p>
    <w:p w:rsidR="0049211D" w:rsidRPr="007B0A30" w:rsidRDefault="0049211D" w:rsidP="0049211D">
      <w:r w:rsidRPr="007B0A30">
        <w:t>01516 Vilnius</w:t>
      </w:r>
    </w:p>
    <w:p w:rsidR="0049211D" w:rsidRPr="007B0A30" w:rsidRDefault="0049211D" w:rsidP="0049211D">
      <w:r w:rsidRPr="007B0A30">
        <w:t>Príspevok za kanceláriu: Dalia Šiaulytienė (Ministry of Education and Science of the Republic of Lithuania); Liliana Bugailiškytė (Secretariat of the Lithuanian National Commission for UNESCO)</w:t>
      </w:r>
    </w:p>
    <w:p w:rsidR="0049211D" w:rsidRPr="007D6E9E" w:rsidRDefault="0049211D" w:rsidP="0049211D">
      <w:pPr>
        <w:rPr>
          <w:lang w:val="de-DE"/>
        </w:rPr>
      </w:pPr>
      <w:r w:rsidRPr="007D6E9E">
        <w:rPr>
          <w:lang w:val="de-DE"/>
        </w:rPr>
        <w:t>LUXEMBURSKO</w:t>
      </w:r>
    </w:p>
    <w:p w:rsidR="0049211D" w:rsidRPr="007D6E9E" w:rsidRDefault="0049211D" w:rsidP="0049211D">
      <w:pPr>
        <w:rPr>
          <w:lang w:val="de-DE"/>
        </w:rPr>
      </w:pPr>
      <w:r w:rsidRPr="007D6E9E">
        <w:rPr>
          <w:lang w:val="de-DE"/>
        </w:rPr>
        <w:t>Unité d’Eurydice</w:t>
      </w:r>
    </w:p>
    <w:p w:rsidR="0049211D" w:rsidRPr="007D6E9E" w:rsidRDefault="0049211D" w:rsidP="0049211D">
      <w:pPr>
        <w:rPr>
          <w:lang w:val="de-DE"/>
        </w:rPr>
      </w:pPr>
      <w:r w:rsidRPr="007D6E9E">
        <w:rPr>
          <w:lang w:val="de-DE"/>
        </w:rPr>
        <w:t>Ministère de l’Éducation nationale et de la Formation professionnelle (MENFP)</w:t>
      </w:r>
    </w:p>
    <w:p w:rsidR="0049211D" w:rsidRPr="007D6E9E" w:rsidRDefault="0049211D" w:rsidP="0049211D">
      <w:pPr>
        <w:rPr>
          <w:lang w:val="de-DE"/>
        </w:rPr>
      </w:pPr>
      <w:r w:rsidRPr="007D6E9E">
        <w:rPr>
          <w:lang w:val="de-DE"/>
        </w:rPr>
        <w:t>29, Rue Aldringen</w:t>
      </w:r>
    </w:p>
    <w:p w:rsidR="0049211D" w:rsidRPr="007D6E9E" w:rsidRDefault="0049211D" w:rsidP="0049211D">
      <w:pPr>
        <w:rPr>
          <w:lang w:val="de-DE"/>
        </w:rPr>
      </w:pPr>
      <w:r w:rsidRPr="007D6E9E">
        <w:rPr>
          <w:lang w:val="de-DE"/>
        </w:rPr>
        <w:t>2926 Luxembourg</w:t>
      </w:r>
    </w:p>
    <w:p w:rsidR="0049211D" w:rsidRPr="007D6E9E" w:rsidRDefault="0049211D" w:rsidP="0049211D">
      <w:pPr>
        <w:rPr>
          <w:lang w:val="de-DE"/>
        </w:rPr>
      </w:pPr>
      <w:r w:rsidRPr="007D6E9E">
        <w:rPr>
          <w:lang w:val="de-DE"/>
        </w:rPr>
        <w:t>Príspevok za kanceláriu: Josée Zeimes, Mike Engel</w:t>
      </w:r>
    </w:p>
    <w:p w:rsidR="0049211D" w:rsidRPr="007B0A30" w:rsidRDefault="0049211D" w:rsidP="0049211D">
      <w:r w:rsidRPr="007B0A30">
        <w:t>MAĎARSKO/MAGYARORSZÁG</w:t>
      </w:r>
    </w:p>
    <w:p w:rsidR="0049211D" w:rsidRPr="007B0A30" w:rsidRDefault="0049211D" w:rsidP="0049211D">
      <w:r w:rsidRPr="007B0A30">
        <w:t>Eurydice Unit</w:t>
      </w:r>
    </w:p>
    <w:p w:rsidR="0049211D" w:rsidRPr="007B0A30" w:rsidRDefault="0049211D" w:rsidP="0049211D">
      <w:r w:rsidRPr="007B0A30">
        <w:t>Ministry of Education and Culture</w:t>
      </w:r>
    </w:p>
    <w:p w:rsidR="0049211D" w:rsidRPr="007B0A30" w:rsidRDefault="0049211D" w:rsidP="0049211D">
      <w:r w:rsidRPr="007B0A30">
        <w:t>Szalay u. 10-14</w:t>
      </w:r>
    </w:p>
    <w:p w:rsidR="0049211D" w:rsidRPr="007B0A30" w:rsidRDefault="0049211D" w:rsidP="0049211D">
      <w:r w:rsidRPr="007B0A30">
        <w:t>1055 Budapest</w:t>
      </w:r>
    </w:p>
    <w:p w:rsidR="0049211D" w:rsidRPr="007B0A30" w:rsidRDefault="0049211D" w:rsidP="0049211D">
      <w:r w:rsidRPr="007B0A30">
        <w:t xml:space="preserve">Príspevok za kanceláriu: Dóra Demeter (coordination); </w:t>
      </w:r>
      <w:r w:rsidRPr="007B0A30">
        <w:br/>
        <w:t xml:space="preserve">expert: István Bodóczky </w:t>
      </w:r>
    </w:p>
    <w:p w:rsidR="0049211D" w:rsidRPr="007B0A30" w:rsidRDefault="0049211D" w:rsidP="0049211D">
      <w:r w:rsidRPr="007B0A30">
        <w:t>MALTA</w:t>
      </w:r>
    </w:p>
    <w:p w:rsidR="0049211D" w:rsidRPr="007B0A30" w:rsidRDefault="0049211D" w:rsidP="0049211D">
      <w:r w:rsidRPr="007B0A30">
        <w:t>Eurydice Unit</w:t>
      </w:r>
    </w:p>
    <w:p w:rsidR="0049211D" w:rsidRPr="007B0A30" w:rsidRDefault="0049211D" w:rsidP="0049211D">
      <w:r w:rsidRPr="007B0A30">
        <w:t>Directorate for Quality and Standards in Education</w:t>
      </w:r>
    </w:p>
    <w:p w:rsidR="0049211D" w:rsidRPr="007B0A30" w:rsidRDefault="0049211D" w:rsidP="0049211D">
      <w:r w:rsidRPr="007B0A30">
        <w:t>Ministry of Education, Culture, Youth and Sport</w:t>
      </w:r>
    </w:p>
    <w:p w:rsidR="0049211D" w:rsidRPr="007B0A30" w:rsidRDefault="0049211D" w:rsidP="0049211D">
      <w:proofErr w:type="gramStart"/>
      <w:r w:rsidRPr="007B0A30">
        <w:t>Great Siege Rd.</w:t>
      </w:r>
      <w:proofErr w:type="gramEnd"/>
    </w:p>
    <w:p w:rsidR="0049211D" w:rsidRPr="007B0A30" w:rsidRDefault="0049211D" w:rsidP="0049211D">
      <w:r w:rsidRPr="007B0A30">
        <w:t>Floriana VLT 2000</w:t>
      </w:r>
    </w:p>
    <w:p w:rsidR="0049211D" w:rsidRPr="007B0A30" w:rsidRDefault="0049211D" w:rsidP="0049211D">
      <w:r w:rsidRPr="007B0A30">
        <w:t>Príspevok za kanceláriu: Raymond Camilleri (coordination); expert: Sina Farrugia Micallef (Education Officer)</w:t>
      </w:r>
    </w:p>
    <w:p w:rsidR="0049211D" w:rsidRPr="0049211D" w:rsidRDefault="0049211D" w:rsidP="0049211D">
      <w:pPr>
        <w:rPr>
          <w:lang w:val="de-DE"/>
        </w:rPr>
      </w:pPr>
      <w:r w:rsidRPr="0049211D">
        <w:rPr>
          <w:lang w:val="de-DE"/>
        </w:rPr>
        <w:t>HOLANDSKO</w:t>
      </w:r>
    </w:p>
    <w:p w:rsidR="0049211D" w:rsidRPr="007D6E9E" w:rsidRDefault="0049211D" w:rsidP="0049211D">
      <w:pPr>
        <w:rPr>
          <w:lang w:val="de-DE"/>
        </w:rPr>
      </w:pPr>
      <w:r w:rsidRPr="007D6E9E">
        <w:rPr>
          <w:lang w:val="de-DE"/>
        </w:rPr>
        <w:t>Eurydice Nederland</w:t>
      </w:r>
    </w:p>
    <w:p w:rsidR="0049211D" w:rsidRPr="007D6E9E" w:rsidRDefault="0049211D" w:rsidP="0049211D">
      <w:pPr>
        <w:rPr>
          <w:lang w:val="de-DE"/>
        </w:rPr>
      </w:pPr>
      <w:r w:rsidRPr="007D6E9E">
        <w:rPr>
          <w:lang w:val="de-DE"/>
        </w:rPr>
        <w:t>Ministerie van Onderwijs, Cultuur en Wetenschap</w:t>
      </w:r>
    </w:p>
    <w:p w:rsidR="0049211D" w:rsidRPr="007D6E9E" w:rsidRDefault="0049211D" w:rsidP="0049211D">
      <w:pPr>
        <w:rPr>
          <w:lang w:val="de-DE"/>
        </w:rPr>
      </w:pPr>
      <w:r w:rsidRPr="007D6E9E">
        <w:rPr>
          <w:lang w:val="de-DE"/>
        </w:rPr>
        <w:t>Directie Internationaal Beleid</w:t>
      </w:r>
    </w:p>
    <w:p w:rsidR="0049211D" w:rsidRPr="007D6E9E" w:rsidRDefault="0049211D" w:rsidP="0049211D">
      <w:pPr>
        <w:rPr>
          <w:lang w:val="de-DE"/>
        </w:rPr>
      </w:pPr>
      <w:r w:rsidRPr="007D6E9E">
        <w:rPr>
          <w:lang w:val="de-DE"/>
        </w:rPr>
        <w:t>IPC 2300 / Kamer 08.047</w:t>
      </w:r>
    </w:p>
    <w:p w:rsidR="0049211D" w:rsidRPr="0049211D" w:rsidRDefault="0049211D" w:rsidP="0049211D">
      <w:pPr>
        <w:rPr>
          <w:lang w:val="de-DE"/>
        </w:rPr>
      </w:pPr>
      <w:r w:rsidRPr="0049211D">
        <w:rPr>
          <w:lang w:val="de-DE"/>
        </w:rPr>
        <w:t>Postbus 16375</w:t>
      </w:r>
    </w:p>
    <w:p w:rsidR="0049211D" w:rsidRPr="0049211D" w:rsidRDefault="0049211D" w:rsidP="0049211D">
      <w:pPr>
        <w:rPr>
          <w:lang w:val="de-DE"/>
        </w:rPr>
      </w:pPr>
      <w:r w:rsidRPr="0049211D">
        <w:rPr>
          <w:lang w:val="de-DE"/>
        </w:rPr>
        <w:t xml:space="preserve">2500 BJ Den Haag </w:t>
      </w:r>
    </w:p>
    <w:p w:rsidR="0049211D" w:rsidRPr="0049211D" w:rsidRDefault="0049211D" w:rsidP="0049211D">
      <w:pPr>
        <w:rPr>
          <w:rFonts w:eastAsia="Arial Unicode MS"/>
          <w:lang w:val="de-DE"/>
        </w:rPr>
      </w:pPr>
      <w:r w:rsidRPr="0049211D">
        <w:rPr>
          <w:lang w:val="de-DE"/>
        </w:rPr>
        <w:t xml:space="preserve">Príspevok za kanceláriu: Raymond van der Ree; </w:t>
      </w:r>
      <w:r w:rsidRPr="0049211D">
        <w:rPr>
          <w:lang w:val="de-DE"/>
        </w:rPr>
        <w:br/>
        <w:t>Marjo van Hoorn (Cultuurnetwerk Nederland, Utrecht)</w:t>
      </w:r>
    </w:p>
    <w:p w:rsidR="0049211D" w:rsidRPr="0049211D" w:rsidRDefault="0049211D" w:rsidP="0049211D">
      <w:pPr>
        <w:rPr>
          <w:lang w:val="de-DE"/>
        </w:rPr>
      </w:pPr>
    </w:p>
    <w:p w:rsidR="0049211D" w:rsidRPr="0049211D" w:rsidRDefault="0049211D" w:rsidP="0049211D">
      <w:pPr>
        <w:rPr>
          <w:lang w:val="de-DE"/>
        </w:rPr>
      </w:pPr>
    </w:p>
    <w:p w:rsidR="0049211D" w:rsidRPr="0049211D" w:rsidRDefault="0049211D" w:rsidP="0049211D">
      <w:pPr>
        <w:rPr>
          <w:lang w:val="de-DE"/>
        </w:rPr>
        <w:sectPr w:rsidR="0049211D" w:rsidRPr="0049211D" w:rsidSect="006A02B8">
          <w:headerReference w:type="default" r:id="rId35"/>
          <w:footerReference w:type="even" r:id="rId36"/>
          <w:footerReference w:type="default" r:id="rId37"/>
          <w:type w:val="continuous"/>
          <w:pgSz w:w="16840" w:h="11907" w:orient="landscape" w:code="9"/>
          <w:pgMar w:top="1134" w:right="567" w:bottom="1134" w:left="567" w:header="2268" w:footer="709" w:gutter="0"/>
          <w:cols w:sep="1" w:space="425"/>
          <w:titlePg/>
        </w:sectPr>
      </w:pPr>
    </w:p>
    <w:p w:rsidR="0049211D" w:rsidRPr="007B0A30" w:rsidRDefault="0049211D" w:rsidP="0049211D">
      <w:r w:rsidRPr="007B0A30">
        <w:t>NÓRSKO</w:t>
      </w:r>
    </w:p>
    <w:p w:rsidR="0049211D" w:rsidRPr="007B0A30" w:rsidRDefault="0049211D" w:rsidP="0049211D">
      <w:r w:rsidRPr="007B0A30">
        <w:t>Eurydice Unit</w:t>
      </w:r>
    </w:p>
    <w:p w:rsidR="0049211D" w:rsidRPr="007B0A30" w:rsidRDefault="0049211D" w:rsidP="0049211D">
      <w:r w:rsidRPr="007B0A30">
        <w:t>Ministry of Education and Research</w:t>
      </w:r>
    </w:p>
    <w:p w:rsidR="0049211D" w:rsidRPr="007B0A30" w:rsidRDefault="0049211D" w:rsidP="0049211D">
      <w:r w:rsidRPr="007B0A30">
        <w:t>Department of Policy Analysis, Lifelong Learning and International Affairs</w:t>
      </w:r>
    </w:p>
    <w:p w:rsidR="0049211D" w:rsidRPr="007B0A30" w:rsidRDefault="0049211D" w:rsidP="0049211D">
      <w:r w:rsidRPr="007B0A30">
        <w:t>Akersgaten 44</w:t>
      </w:r>
    </w:p>
    <w:p w:rsidR="0049211D" w:rsidRPr="007B0A30" w:rsidRDefault="0049211D" w:rsidP="0049211D">
      <w:r w:rsidRPr="007B0A30">
        <w:t>0032 Oslo</w:t>
      </w:r>
    </w:p>
    <w:p w:rsidR="0049211D" w:rsidRPr="007B0A30" w:rsidRDefault="0049211D" w:rsidP="0049211D">
      <w:r w:rsidRPr="007B0A30">
        <w:t>Príspevok za kanceláriu: spoločná zodpovednosť</w:t>
      </w:r>
    </w:p>
    <w:p w:rsidR="0049211D" w:rsidRPr="0049211D" w:rsidRDefault="0049211D" w:rsidP="0049211D">
      <w:pPr>
        <w:rPr>
          <w:lang w:val="de-DE"/>
        </w:rPr>
      </w:pPr>
      <w:r w:rsidRPr="0049211D">
        <w:rPr>
          <w:lang w:val="de-DE"/>
        </w:rPr>
        <w:t>RAK/SKO</w:t>
      </w:r>
    </w:p>
    <w:p w:rsidR="0049211D" w:rsidRPr="007D6E9E" w:rsidRDefault="0049211D" w:rsidP="0049211D">
      <w:pPr>
        <w:rPr>
          <w:lang w:val="de-DE"/>
        </w:rPr>
      </w:pPr>
      <w:r w:rsidRPr="007D6E9E">
        <w:rPr>
          <w:lang w:val="de-DE"/>
        </w:rPr>
        <w:t>Eurydice-Informationsstelle</w:t>
      </w:r>
    </w:p>
    <w:p w:rsidR="0049211D" w:rsidRPr="007D6E9E" w:rsidRDefault="0049211D" w:rsidP="0049211D">
      <w:pPr>
        <w:rPr>
          <w:lang w:val="de-DE"/>
        </w:rPr>
      </w:pPr>
      <w:r w:rsidRPr="007D6E9E">
        <w:rPr>
          <w:lang w:val="de-DE"/>
        </w:rPr>
        <w:t>Bundesministerium für Unterricht, Kunst und Kultur – I/6b</w:t>
      </w:r>
    </w:p>
    <w:p w:rsidR="0049211D" w:rsidRPr="007D6E9E" w:rsidRDefault="0049211D" w:rsidP="0049211D">
      <w:pPr>
        <w:rPr>
          <w:lang w:val="de-DE"/>
        </w:rPr>
      </w:pPr>
      <w:r w:rsidRPr="007D6E9E">
        <w:rPr>
          <w:lang w:val="de-DE"/>
        </w:rPr>
        <w:t>Minoritenplatz 5</w:t>
      </w:r>
    </w:p>
    <w:p w:rsidR="0049211D" w:rsidRPr="007D6E9E" w:rsidRDefault="0049211D" w:rsidP="0049211D">
      <w:pPr>
        <w:rPr>
          <w:lang w:val="de-DE"/>
        </w:rPr>
      </w:pPr>
      <w:r w:rsidRPr="007D6E9E">
        <w:rPr>
          <w:lang w:val="de-DE"/>
        </w:rPr>
        <w:t>1014 Wien</w:t>
      </w:r>
    </w:p>
    <w:p w:rsidR="0049211D" w:rsidRPr="007D6E9E" w:rsidRDefault="0049211D" w:rsidP="0049211D">
      <w:pPr>
        <w:rPr>
          <w:lang w:val="de-DE"/>
        </w:rPr>
      </w:pPr>
      <w:r w:rsidRPr="007D6E9E">
        <w:rPr>
          <w:lang w:val="de-DE"/>
        </w:rPr>
        <w:t>Príspevok za kanceláriu: Michael Wimmer, Anke Schad (EDUCULT Institut für Vermittlung von Kunst und Wissenschaft, Vienna); Tanja Nagel</w:t>
      </w:r>
    </w:p>
    <w:p w:rsidR="0049211D" w:rsidRPr="007B0A30" w:rsidRDefault="0049211D" w:rsidP="0049211D">
      <w:r w:rsidRPr="007B0A30">
        <w:t>POĽSKO</w:t>
      </w:r>
    </w:p>
    <w:p w:rsidR="0049211D" w:rsidRPr="007B0A30" w:rsidRDefault="0049211D" w:rsidP="0049211D">
      <w:r w:rsidRPr="007B0A30">
        <w:t>Eurydice Unit</w:t>
      </w:r>
    </w:p>
    <w:p w:rsidR="0049211D" w:rsidRPr="007B0A30" w:rsidRDefault="0049211D" w:rsidP="0049211D">
      <w:r w:rsidRPr="007B0A30">
        <w:t>Foundation for the Development of the Education System</w:t>
      </w:r>
    </w:p>
    <w:p w:rsidR="0049211D" w:rsidRPr="007B0A30" w:rsidRDefault="0049211D" w:rsidP="0049211D">
      <w:r w:rsidRPr="007B0A30">
        <w:t>Mokotowska 43</w:t>
      </w:r>
    </w:p>
    <w:p w:rsidR="0049211D" w:rsidRPr="007B0A30" w:rsidRDefault="0049211D" w:rsidP="0049211D">
      <w:r w:rsidRPr="007B0A30">
        <w:t>00-551 Warsaw</w:t>
      </w:r>
    </w:p>
    <w:p w:rsidR="0049211D" w:rsidRPr="007B0A30" w:rsidRDefault="0049211D" w:rsidP="0049211D">
      <w:r w:rsidRPr="007B0A30">
        <w:t>Príspevok za kanceláriu: Joanna Kuźmicka, Beata Płatos (coordination); expert: Anna Dakowicz-Nawrocka (Ministry of National Education)</w:t>
      </w:r>
    </w:p>
    <w:p w:rsidR="0049211D" w:rsidRPr="007B0A30" w:rsidRDefault="0049211D" w:rsidP="0049211D">
      <w:r w:rsidRPr="007B0A30">
        <w:t>PORTUGALSKO</w:t>
      </w:r>
    </w:p>
    <w:p w:rsidR="0049211D" w:rsidRPr="007B0A30" w:rsidRDefault="0049211D" w:rsidP="0049211D">
      <w:pPr>
        <w:rPr>
          <w:rFonts w:eastAsia="Arial Unicode MS"/>
        </w:rPr>
      </w:pPr>
      <w:r w:rsidRPr="007B0A30">
        <w:t>Unidade Portuguesa da Rede Eurydice (UPRE)</w:t>
      </w:r>
    </w:p>
    <w:p w:rsidR="0049211D" w:rsidRPr="007B0A30" w:rsidRDefault="0049211D" w:rsidP="0049211D">
      <w:r w:rsidRPr="007B0A30">
        <w:t>Ministério da Educação</w:t>
      </w:r>
    </w:p>
    <w:p w:rsidR="0049211D" w:rsidRPr="007B0A30" w:rsidRDefault="0049211D" w:rsidP="0049211D">
      <w:r w:rsidRPr="007B0A30">
        <w:t>Gabinete de Estatística e Planeamento da Educação (GEPE)</w:t>
      </w:r>
    </w:p>
    <w:p w:rsidR="0049211D" w:rsidRPr="007B0A30" w:rsidRDefault="0049211D" w:rsidP="0049211D">
      <w:r w:rsidRPr="007B0A30">
        <w:t>Av. 24 de Julho, 134 – 4</w:t>
      </w:r>
      <w:proofErr w:type="gramStart"/>
      <w:r w:rsidRPr="007B0A30">
        <w:t>.º</w:t>
      </w:r>
      <w:proofErr w:type="gramEnd"/>
    </w:p>
    <w:p w:rsidR="0049211D" w:rsidRPr="007B0A30" w:rsidRDefault="0049211D" w:rsidP="0049211D">
      <w:r w:rsidRPr="007B0A30">
        <w:t>1399-54 Lisboa</w:t>
      </w:r>
    </w:p>
    <w:p w:rsidR="0049211D" w:rsidRPr="007B0A30" w:rsidRDefault="0049211D" w:rsidP="0049211D">
      <w:r w:rsidRPr="007B0A30">
        <w:t xml:space="preserve">Príspevok za kanceláriu: Guadalupe Magalhães; </w:t>
      </w:r>
      <w:r w:rsidRPr="007B0A30">
        <w:br/>
        <w:t>expert: Isabel Susana Sousa</w:t>
      </w:r>
    </w:p>
    <w:p w:rsidR="0049211D" w:rsidRPr="007B0A30" w:rsidRDefault="0049211D" w:rsidP="0049211D">
      <w:r w:rsidRPr="007B0A30">
        <w:t>RUMUNSKO</w:t>
      </w:r>
    </w:p>
    <w:p w:rsidR="0049211D" w:rsidRPr="007B0A30" w:rsidRDefault="0049211D" w:rsidP="0049211D">
      <w:r w:rsidRPr="007B0A30">
        <w:t>Eurydice Unit</w:t>
      </w:r>
    </w:p>
    <w:p w:rsidR="0049211D" w:rsidRPr="007B0A30" w:rsidRDefault="0049211D" w:rsidP="0049211D">
      <w:r w:rsidRPr="007B0A30">
        <w:t xml:space="preserve">National Agency for Community Programmes in the Field of Education and Vocational Training </w:t>
      </w:r>
    </w:p>
    <w:p w:rsidR="0049211D" w:rsidRPr="007B0A30" w:rsidRDefault="0049211D" w:rsidP="0049211D">
      <w:r w:rsidRPr="007B0A30">
        <w:t>Calea Serban Voda, no. 133, 3rd floor</w:t>
      </w:r>
    </w:p>
    <w:p w:rsidR="0049211D" w:rsidRPr="007B0A30" w:rsidRDefault="0049211D" w:rsidP="0049211D">
      <w:r w:rsidRPr="007B0A30">
        <w:t>Sector 4</w:t>
      </w:r>
    </w:p>
    <w:p w:rsidR="0049211D" w:rsidRPr="007B0A30" w:rsidRDefault="0049211D" w:rsidP="0049211D">
      <w:r w:rsidRPr="007B0A30">
        <w:t>040205 Bucharest</w:t>
      </w:r>
    </w:p>
    <w:p w:rsidR="0049211D" w:rsidRPr="007B0A30" w:rsidRDefault="0049211D" w:rsidP="0049211D">
      <w:r w:rsidRPr="007B0A30">
        <w:t>Príspevok za kanceláriu: Veronica – Gabriela Chirea, Alexandru Modrescu, Tincuţa Modrescu; experts: Adrian Brăescu (Ministry of Education, Research and Innovation); Lucia Costinescu (National University of Music Bucharest - Teachers training Dep. - DPPD &amp; International Relations and European Programs Dep.); Lăcrămioara Pauliuc and Ştefan Pacearca (County School Inspectorate of Bucharest)</w:t>
      </w:r>
    </w:p>
    <w:p w:rsidR="0049211D" w:rsidRPr="007B0A30" w:rsidRDefault="0049211D" w:rsidP="0049211D">
      <w:r w:rsidRPr="007B0A30">
        <w:br w:type="column"/>
        <w:t>SLOVINSKO</w:t>
      </w:r>
    </w:p>
    <w:p w:rsidR="0049211D" w:rsidRPr="007B0A30" w:rsidRDefault="0049211D" w:rsidP="0049211D">
      <w:r w:rsidRPr="007B0A30">
        <w:t>Eurydice Unit</w:t>
      </w:r>
    </w:p>
    <w:p w:rsidR="0049211D" w:rsidRPr="007B0A30" w:rsidRDefault="0049211D" w:rsidP="0049211D">
      <w:r w:rsidRPr="007B0A30">
        <w:t>Ministry of Education and Sport</w:t>
      </w:r>
    </w:p>
    <w:p w:rsidR="0049211D" w:rsidRPr="007B0A30" w:rsidRDefault="0049211D" w:rsidP="0049211D">
      <w:r w:rsidRPr="007B0A30">
        <w:t>Office for Development of Education (ODE)</w:t>
      </w:r>
    </w:p>
    <w:p w:rsidR="0049211D" w:rsidRPr="007B0A30" w:rsidRDefault="0049211D" w:rsidP="0049211D">
      <w:r w:rsidRPr="007B0A30">
        <w:t>Masarykova 16/V</w:t>
      </w:r>
    </w:p>
    <w:p w:rsidR="0049211D" w:rsidRPr="007B0A30" w:rsidRDefault="0049211D" w:rsidP="0049211D">
      <w:r w:rsidRPr="007B0A30">
        <w:t>1000 Ljubljana</w:t>
      </w:r>
    </w:p>
    <w:p w:rsidR="0049211D" w:rsidRPr="007B0A30" w:rsidRDefault="0049211D" w:rsidP="0049211D">
      <w:r w:rsidRPr="007B0A30">
        <w:t xml:space="preserve">Príspevok za kanceláriu: Tatjana Plevnik; </w:t>
      </w:r>
      <w:r w:rsidRPr="007B0A30">
        <w:br/>
        <w:t>expert pre časťI: Primož Plevnik (National Education Institute); expert pre časť II: Dr. Ursula Podobnik (University of Ljubljana, Faculty of Education)</w:t>
      </w:r>
    </w:p>
    <w:p w:rsidR="0049211D" w:rsidRPr="007B0A30" w:rsidRDefault="0049211D" w:rsidP="0049211D">
      <w:r w:rsidRPr="007B0A30">
        <w:t>SLOVENSKÁ REPUBLIKA</w:t>
      </w:r>
    </w:p>
    <w:p w:rsidR="0049211D" w:rsidRPr="007B0A30" w:rsidRDefault="0049211D" w:rsidP="0049211D">
      <w:r w:rsidRPr="007B0A30">
        <w:t>Eurydice Unit</w:t>
      </w:r>
    </w:p>
    <w:p w:rsidR="0049211D" w:rsidRPr="007B0A30" w:rsidRDefault="0049211D" w:rsidP="0049211D">
      <w:r w:rsidRPr="007B0A30">
        <w:t>Slovak Academic Association for International Cooperation</w:t>
      </w:r>
    </w:p>
    <w:p w:rsidR="0049211D" w:rsidRPr="007B0A30" w:rsidRDefault="0049211D" w:rsidP="0049211D">
      <w:r w:rsidRPr="007B0A30">
        <w:t>Staré grunty 52</w:t>
      </w:r>
    </w:p>
    <w:p w:rsidR="0049211D" w:rsidRPr="007B0A30" w:rsidRDefault="0049211D" w:rsidP="0049211D">
      <w:r w:rsidRPr="007B0A30">
        <w:t>842 44 Bratislava</w:t>
      </w:r>
    </w:p>
    <w:p w:rsidR="0049211D" w:rsidRPr="007B0A30" w:rsidRDefault="0049211D" w:rsidP="0049211D">
      <w:r w:rsidRPr="007B0A30">
        <w:t>Príspevok za kanceláriu: spoločná zodpovednosť</w:t>
      </w:r>
    </w:p>
    <w:p w:rsidR="0049211D" w:rsidRPr="007B0A30" w:rsidRDefault="0049211D" w:rsidP="0049211D">
      <w:r w:rsidRPr="007B0A30">
        <w:t>SUOMI</w:t>
      </w:r>
    </w:p>
    <w:p w:rsidR="0049211D" w:rsidRPr="007B0A30" w:rsidRDefault="0049211D" w:rsidP="0049211D">
      <w:r w:rsidRPr="007B0A30">
        <w:t>Eurydice Finland</w:t>
      </w:r>
    </w:p>
    <w:p w:rsidR="0049211D" w:rsidRPr="007B0A30" w:rsidRDefault="0049211D" w:rsidP="0049211D">
      <w:r w:rsidRPr="007B0A30">
        <w:t>Finnish National Board of Education</w:t>
      </w:r>
    </w:p>
    <w:p w:rsidR="0049211D" w:rsidRPr="007B0A30" w:rsidRDefault="0049211D" w:rsidP="0049211D">
      <w:r w:rsidRPr="007B0A30">
        <w:t>P.O. Box 380</w:t>
      </w:r>
    </w:p>
    <w:p w:rsidR="0049211D" w:rsidRPr="007B0A30" w:rsidRDefault="0049211D" w:rsidP="0049211D">
      <w:r w:rsidRPr="007B0A30">
        <w:t>00531 Helsinki</w:t>
      </w:r>
    </w:p>
    <w:p w:rsidR="0049211D" w:rsidRPr="007B0A30" w:rsidRDefault="0049211D" w:rsidP="0049211D">
      <w:r w:rsidRPr="007B0A30">
        <w:t>Príspevok za kanceláriu: Olga Lappi-Hokka, Petra Packalen; expert: Mikko Hartikainen (Counsellor of Education, Finnish National Board of Education)</w:t>
      </w:r>
    </w:p>
    <w:p w:rsidR="0049211D" w:rsidRPr="007B0A30" w:rsidRDefault="0049211D" w:rsidP="0049211D">
      <w:r w:rsidRPr="007B0A30">
        <w:t>ŠVÉDSKO</w:t>
      </w:r>
    </w:p>
    <w:p w:rsidR="0049211D" w:rsidRPr="007B0A30" w:rsidRDefault="0049211D" w:rsidP="0049211D">
      <w:r w:rsidRPr="007B0A30">
        <w:t>Eurydice Unit</w:t>
      </w:r>
    </w:p>
    <w:p w:rsidR="0049211D" w:rsidRPr="007B0A30" w:rsidRDefault="0049211D" w:rsidP="0049211D">
      <w:r w:rsidRPr="007B0A30">
        <w:t>Ministry of Education and Research</w:t>
      </w:r>
    </w:p>
    <w:p w:rsidR="0049211D" w:rsidRPr="007B0A30" w:rsidRDefault="0049211D" w:rsidP="0049211D">
      <w:r w:rsidRPr="007B0A30">
        <w:t xml:space="preserve">103 33 Stockholm zodp </w:t>
      </w:r>
    </w:p>
    <w:p w:rsidR="0049211D" w:rsidRPr="007B0A30" w:rsidRDefault="0049211D" w:rsidP="0049211D">
      <w:r w:rsidRPr="007B0A30">
        <w:t xml:space="preserve">Príspevok za kanceláriu: </w:t>
      </w:r>
      <w:proofErr w:type="gramStart"/>
      <w:r w:rsidRPr="007B0A30">
        <w:t>spoločná  zodpovednosť</w:t>
      </w:r>
      <w:proofErr w:type="gramEnd"/>
    </w:p>
    <w:p w:rsidR="0049211D" w:rsidRPr="007B0A30" w:rsidRDefault="0049211D" w:rsidP="0049211D">
      <w:r w:rsidRPr="007B0A30">
        <w:t>TURECKO</w:t>
      </w:r>
    </w:p>
    <w:p w:rsidR="0049211D" w:rsidRPr="007B0A30" w:rsidRDefault="0049211D" w:rsidP="0049211D">
      <w:r w:rsidRPr="007B0A30">
        <w:t>Eurydice Unit Türkiye</w:t>
      </w:r>
    </w:p>
    <w:p w:rsidR="0049211D" w:rsidRPr="0049211D" w:rsidRDefault="0049211D" w:rsidP="0049211D">
      <w:r w:rsidRPr="0049211D">
        <w:t>MEB, Strateji Geliştirme Başkanlığı (SGB)</w:t>
      </w:r>
    </w:p>
    <w:p w:rsidR="0049211D" w:rsidRPr="0049211D" w:rsidRDefault="0049211D" w:rsidP="0049211D">
      <w:pPr>
        <w:rPr>
          <w:lang w:val="de-DE"/>
        </w:rPr>
      </w:pPr>
      <w:r w:rsidRPr="007D6E9E">
        <w:rPr>
          <w:lang w:val="de-DE"/>
        </w:rPr>
        <w:t xml:space="preserve">Eurydice Türkiye Birimi, Merkez Bina 4. </w:t>
      </w:r>
      <w:r w:rsidRPr="0049211D">
        <w:rPr>
          <w:lang w:val="de-DE"/>
        </w:rPr>
        <w:t>Kat</w:t>
      </w:r>
    </w:p>
    <w:p w:rsidR="0049211D" w:rsidRPr="0049211D" w:rsidRDefault="0049211D" w:rsidP="0049211D">
      <w:pPr>
        <w:rPr>
          <w:lang w:val="de-DE"/>
        </w:rPr>
      </w:pPr>
      <w:r w:rsidRPr="0049211D">
        <w:rPr>
          <w:lang w:val="de-DE"/>
        </w:rPr>
        <w:t>B-Blok Bakanlıklar</w:t>
      </w:r>
    </w:p>
    <w:p w:rsidR="0049211D" w:rsidRPr="0049211D" w:rsidRDefault="0049211D" w:rsidP="0049211D">
      <w:pPr>
        <w:rPr>
          <w:lang w:val="de-DE"/>
        </w:rPr>
      </w:pPr>
      <w:r w:rsidRPr="0049211D">
        <w:rPr>
          <w:lang w:val="de-DE"/>
        </w:rPr>
        <w:t>06648 Ankara</w:t>
      </w:r>
    </w:p>
    <w:p w:rsidR="0049211D" w:rsidRPr="0049211D" w:rsidRDefault="0049211D" w:rsidP="0049211D">
      <w:pPr>
        <w:rPr>
          <w:lang w:val="de-DE"/>
        </w:rPr>
      </w:pPr>
      <w:r w:rsidRPr="0049211D">
        <w:rPr>
          <w:lang w:val="de-DE"/>
        </w:rPr>
        <w:t>SPOJENÉ KRÁĽOVSTVO</w:t>
      </w:r>
    </w:p>
    <w:p w:rsidR="0049211D" w:rsidRPr="007B0A30" w:rsidRDefault="0049211D" w:rsidP="0049211D">
      <w:r w:rsidRPr="007B0A30">
        <w:t>Eurydice Unit for England, Wales and Northern Ireland</w:t>
      </w:r>
    </w:p>
    <w:p w:rsidR="0049211D" w:rsidRPr="007B0A30" w:rsidRDefault="0049211D" w:rsidP="0049211D">
      <w:r w:rsidRPr="007B0A30">
        <w:t>National Foundation for Educational Research (NFER)</w:t>
      </w:r>
    </w:p>
    <w:p w:rsidR="0049211D" w:rsidRPr="007B0A30" w:rsidRDefault="0049211D" w:rsidP="0049211D">
      <w:r w:rsidRPr="007B0A30">
        <w:t>The Mere, Upton Park</w:t>
      </w:r>
    </w:p>
    <w:p w:rsidR="0049211D" w:rsidRPr="007B0A30" w:rsidRDefault="0049211D" w:rsidP="0049211D">
      <w:r w:rsidRPr="007B0A30">
        <w:t>Slough SL1 2DQ</w:t>
      </w:r>
    </w:p>
    <w:p w:rsidR="0049211D" w:rsidRPr="007B0A30" w:rsidRDefault="0049211D" w:rsidP="0049211D">
      <w:r w:rsidRPr="007B0A30">
        <w:t>Príspevok za kanceláriu: Catherine Higginson</w:t>
      </w:r>
    </w:p>
    <w:p w:rsidR="0049211D" w:rsidRPr="007B0A30" w:rsidRDefault="0049211D" w:rsidP="0049211D"/>
    <w:p w:rsidR="0049211D" w:rsidRPr="007B0A30" w:rsidRDefault="0049211D" w:rsidP="0049211D">
      <w:r w:rsidRPr="007B0A30">
        <w:t>Eurydice Unit Scotland</w:t>
      </w:r>
    </w:p>
    <w:p w:rsidR="0049211D" w:rsidRPr="007B0A30" w:rsidRDefault="0049211D" w:rsidP="0049211D">
      <w:r w:rsidRPr="007B0A30">
        <w:t>International Team</w:t>
      </w:r>
    </w:p>
    <w:p w:rsidR="0049211D" w:rsidRPr="007B0A30" w:rsidRDefault="0049211D" w:rsidP="0049211D">
      <w:r w:rsidRPr="007B0A30">
        <w:t>Schools Directorate</w:t>
      </w:r>
    </w:p>
    <w:p w:rsidR="0049211D" w:rsidRPr="007B0A30" w:rsidRDefault="0049211D" w:rsidP="0049211D">
      <w:r w:rsidRPr="007B0A30">
        <w:t>2B South</w:t>
      </w:r>
    </w:p>
    <w:p w:rsidR="0049211D" w:rsidRPr="007B0A30" w:rsidRDefault="0049211D" w:rsidP="0049211D">
      <w:r w:rsidRPr="007B0A30">
        <w:t>Victoria Quay</w:t>
      </w:r>
    </w:p>
    <w:p w:rsidR="0049211D" w:rsidRPr="007B0A30" w:rsidRDefault="0049211D" w:rsidP="0049211D">
      <w:r w:rsidRPr="007B0A30">
        <w:t xml:space="preserve">Edinburgh </w:t>
      </w:r>
    </w:p>
    <w:p w:rsidR="0049211D" w:rsidRPr="007B0A30" w:rsidRDefault="0049211D" w:rsidP="0049211D">
      <w:r w:rsidRPr="007B0A30">
        <w:t>EH6 6QQ</w:t>
      </w:r>
    </w:p>
    <w:p w:rsidR="0049211D" w:rsidRPr="007B0A30" w:rsidRDefault="0049211D" w:rsidP="0049211D">
      <w:r w:rsidRPr="007B0A30">
        <w:t>Príspevok za kanceláriu: Alan Ogg (national expert</w:t>
      </w:r>
      <w:proofErr w:type="gramStart"/>
      <w:r w:rsidRPr="007B0A30">
        <w:t>)  x</w:t>
      </w:r>
      <w:proofErr w:type="gramEnd"/>
      <w:r w:rsidRPr="007B0A30">
        <w:t>/</w:t>
      </w:r>
    </w:p>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Pr>
        <w:sectPr w:rsidR="0049211D" w:rsidRPr="007B0A30" w:rsidSect="006A02B8">
          <w:footerReference w:type="default" r:id="rId38"/>
          <w:pgSz w:w="16840" w:h="11907" w:orient="landscape" w:code="9"/>
          <w:pgMar w:top="1134" w:right="567" w:bottom="1134" w:left="567" w:header="2268" w:footer="709" w:gutter="0"/>
          <w:cols w:sep="1" w:space="425"/>
        </w:sectPr>
      </w:pPr>
    </w:p>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49211D" w:rsidRPr="007B0A30" w:rsidTr="005A72A4">
        <w:tc>
          <w:tcPr>
            <w:tcW w:w="9571" w:type="dxa"/>
          </w:tcPr>
          <w:p w:rsidR="0049211D" w:rsidRPr="007B0A30" w:rsidRDefault="0049211D" w:rsidP="005A72A4"/>
          <w:p w:rsidR="0049211D" w:rsidRPr="007B0A30" w:rsidRDefault="0049211D" w:rsidP="005A72A4">
            <w:r w:rsidRPr="007B0A30">
              <w:t>EACEA; Eurydice</w:t>
            </w:r>
          </w:p>
          <w:p w:rsidR="0049211D" w:rsidRPr="007B0A30" w:rsidRDefault="0049211D" w:rsidP="005A72A4"/>
          <w:p w:rsidR="0049211D" w:rsidRPr="007B0A30" w:rsidRDefault="0049211D" w:rsidP="005A72A4">
            <w:r w:rsidRPr="007B0A30">
              <w:t>Umelecké a kultúrne vzdelávanie v školách v Európe</w:t>
            </w:r>
          </w:p>
          <w:p w:rsidR="0049211D" w:rsidRPr="007B0A30" w:rsidRDefault="0049211D" w:rsidP="005A72A4"/>
          <w:p w:rsidR="0049211D" w:rsidRPr="007B0A30" w:rsidRDefault="0049211D" w:rsidP="005A72A4">
            <w:r w:rsidRPr="007B0A30">
              <w:t>Brusel: Eurydice</w:t>
            </w:r>
          </w:p>
          <w:p w:rsidR="0049211D" w:rsidRPr="007B0A30" w:rsidRDefault="0049211D" w:rsidP="005A72A4"/>
          <w:p w:rsidR="0049211D" w:rsidRPr="007B0A30" w:rsidRDefault="0049211D" w:rsidP="005A72A4">
            <w:r w:rsidRPr="007B0A30">
              <w:t>2009 – 104 str.</w:t>
            </w:r>
          </w:p>
          <w:p w:rsidR="0049211D" w:rsidRPr="007B0A30" w:rsidRDefault="0049211D" w:rsidP="005A72A4"/>
          <w:p w:rsidR="0049211D" w:rsidRPr="007B0A30" w:rsidRDefault="0049211D" w:rsidP="005A72A4"/>
          <w:p w:rsidR="0049211D" w:rsidRPr="007B0A30" w:rsidRDefault="0049211D" w:rsidP="005A72A4">
            <w:r w:rsidRPr="007B0A30">
              <w:t>ISBN 978-92-9201-061-4</w:t>
            </w:r>
          </w:p>
          <w:p w:rsidR="0049211D" w:rsidRPr="007B0A30" w:rsidRDefault="0049211D" w:rsidP="005A72A4"/>
          <w:p w:rsidR="0049211D" w:rsidRPr="007B0A30" w:rsidRDefault="0049211D" w:rsidP="005A72A4">
            <w:r w:rsidRPr="007B0A30">
              <w:t>DOI 10.2797/28436</w:t>
            </w:r>
          </w:p>
          <w:p w:rsidR="0049211D" w:rsidRPr="007B0A30" w:rsidRDefault="0049211D" w:rsidP="005A72A4"/>
          <w:p w:rsidR="0049211D" w:rsidRPr="007B0A30" w:rsidRDefault="0049211D" w:rsidP="005A72A4">
            <w:r w:rsidRPr="007B0A30">
              <w:t>Preklad: ISBN 978-92-9201-078-2</w:t>
            </w:r>
          </w:p>
          <w:p w:rsidR="0049211D" w:rsidRPr="007B0A30" w:rsidRDefault="0049211D" w:rsidP="005A72A4"/>
          <w:p w:rsidR="0049211D" w:rsidRPr="007B0A30" w:rsidRDefault="0049211D" w:rsidP="005A72A4">
            <w:r w:rsidRPr="007B0A30">
              <w:t>DOI 10.2797/35427</w:t>
            </w:r>
          </w:p>
          <w:p w:rsidR="0049211D" w:rsidRPr="007B0A30" w:rsidRDefault="0049211D" w:rsidP="005A72A4"/>
          <w:p w:rsidR="0049211D" w:rsidRPr="007B0A30" w:rsidRDefault="0049211D" w:rsidP="005A72A4"/>
          <w:p w:rsidR="0049211D" w:rsidRPr="007B0A30" w:rsidRDefault="0049211D" w:rsidP="005A72A4">
            <w:r w:rsidRPr="007B0A30">
              <w:t>Descriptory: umelecké vzdelávanie, kurikulum, reforma, vzdelávanie učiteľov, hodnotenie študentov, EFTA, Európska únia</w:t>
            </w:r>
          </w:p>
          <w:p w:rsidR="0049211D" w:rsidRPr="007B0A30" w:rsidRDefault="0049211D" w:rsidP="005A72A4"/>
        </w:tc>
      </w:tr>
    </w:tbl>
    <w:p w:rsidR="0049211D" w:rsidRPr="007B0A30" w:rsidRDefault="0049211D" w:rsidP="0049211D"/>
    <w:p w:rsidR="0049211D" w:rsidRPr="007B0A30" w:rsidRDefault="0049211D" w:rsidP="0049211D"/>
    <w:p w:rsidR="0049211D" w:rsidRPr="007B0A30" w:rsidRDefault="0049211D" w:rsidP="0049211D"/>
    <w:p w:rsidR="0049211D" w:rsidRPr="007B0A30" w:rsidRDefault="0049211D" w:rsidP="0049211D">
      <w:pPr>
        <w:sectPr w:rsidR="0049211D" w:rsidRPr="007B0A30" w:rsidSect="006A02B8">
          <w:headerReference w:type="even" r:id="rId39"/>
          <w:footerReference w:type="even" r:id="rId40"/>
          <w:footerReference w:type="first" r:id="rId41"/>
          <w:pgSz w:w="16840" w:h="11907" w:orient="landscape" w:code="9"/>
          <w:pgMar w:top="1134" w:right="567" w:bottom="1134" w:left="567" w:header="2268" w:footer="709" w:gutter="0"/>
          <w:cols w:space="708"/>
          <w:titlePg/>
          <w:docGrid w:linePitch="360"/>
        </w:sectPr>
      </w:pPr>
    </w:p>
    <w:p w:rsidR="0049211D" w:rsidRPr="007B0A30" w:rsidRDefault="0049211D" w:rsidP="0049211D"/>
    <w:p w:rsidR="0049211D" w:rsidRPr="007B0A30" w:rsidRDefault="0049211D" w:rsidP="0049211D">
      <w:r>
        <w:t xml:space="preserve">Úplný text dostupný </w:t>
      </w:r>
      <w:proofErr w:type="gramStart"/>
      <w:r>
        <w:t>na</w:t>
      </w:r>
      <w:proofErr w:type="gramEnd"/>
      <w:r>
        <w:t xml:space="preserve"> </w:t>
      </w:r>
      <w:r w:rsidRPr="00E14D7D">
        <w:t>http://eacea.ec.europa.eu/education/eurydice/documents/thematic_reports/113SK.pdf</w:t>
      </w:r>
    </w:p>
    <w:p w:rsidR="0049211D" w:rsidRDefault="0049211D" w:rsidP="0049211D"/>
    <w:p w:rsidR="00AB090A" w:rsidRDefault="00AB090A"/>
    <w:sectPr w:rsidR="00AB090A" w:rsidSect="006A02B8">
      <w:footerReference w:type="even" r:id="rId42"/>
      <w:footerReference w:type="default" r:id="rId43"/>
      <w:footerReference w:type="first" r:id="rId44"/>
      <w:pgSz w:w="16840" w:h="11907" w:orient="landscape" w:code="9"/>
      <w:pgMar w:top="1134" w:right="567" w:bottom="1134" w:left="567" w:header="2268" w:footer="709" w:gutter="0"/>
      <w:pgNumType w:start="5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8D5" w:rsidRDefault="00B028D5" w:rsidP="00B028D5">
      <w:r>
        <w:separator/>
      </w:r>
    </w:p>
  </w:endnote>
  <w:endnote w:type="continuationSeparator" w:id="0">
    <w:p w:rsidR="00B028D5" w:rsidRDefault="00B028D5" w:rsidP="00B028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Myriad Pro SemiExt">
    <w:altName w:val="Arial"/>
    <w:panose1 w:val="00000000000000000000"/>
    <w:charset w:val="00"/>
    <w:family w:val="swiss"/>
    <w:notTrueType/>
    <w:pitch w:val="variable"/>
    <w:sig w:usb0="00000287" w:usb1="00000000" w:usb2="00000000" w:usb3="00000000" w:csb0="0000009F" w:csb1="00000000"/>
  </w:font>
  <w:font w:name="Myriad Pro Light">
    <w:altName w:val="Arial"/>
    <w:panose1 w:val="00000000000000000000"/>
    <w:charset w:val="00"/>
    <w:family w:val="swiss"/>
    <w:notTrueType/>
    <w:pitch w:val="variable"/>
    <w:sig w:usb0="00000287" w:usb1="00000000" w:usb2="00000000" w:usb3="00000000" w:csb0="0000009F" w:csb1="00000000"/>
  </w:font>
  <w:font w:name="Myriad Pro">
    <w:altName w:val="Arial"/>
    <w:panose1 w:val="00000000000000000000"/>
    <w:charset w:val="00"/>
    <w:family w:val="swiss"/>
    <w:notTrueType/>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Myriad Pro Cond">
    <w:altName w:val="Arial"/>
    <w:panose1 w:val="00000000000000000000"/>
    <w:charset w:val="00"/>
    <w:family w:val="swiss"/>
    <w:notTrueType/>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TB7o00">
    <w:altName w:val="Arial"/>
    <w:panose1 w:val="00000000000000000000"/>
    <w:charset w:val="00"/>
    <w:family w:val="swiss"/>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Futura Md BT">
    <w:altName w:val="Lucida Sans Unicode"/>
    <w:charset w:val="00"/>
    <w:family w:val="swiss"/>
    <w:pitch w:val="variable"/>
    <w:sig w:usb0="00000087" w:usb1="00000000" w:usb2="00000000" w:usb3="00000000" w:csb0="0000001B" w:csb1="00000000"/>
  </w:font>
  <w:font w:name="New York">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Default="00392E01">
    <w:pPr>
      <w:spacing w:before="200"/>
      <w:jc w:val="center"/>
      <w:rPr>
        <w:rStyle w:val="slostrany"/>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E14D7D" w:rsidRDefault="00392E01" w:rsidP="00E14D7D">
    <w:pPr>
      <w:pStyle w:val="Pta"/>
      <w:rPr>
        <w:rStyle w:val="slostrany"/>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Default="00B028D5">
    <w:pPr>
      <w:spacing w:before="200"/>
      <w:jc w:val="center"/>
      <w:rPr>
        <w:rStyle w:val="slostrany"/>
      </w:rPr>
    </w:pPr>
    <w:r>
      <w:rPr>
        <w:rStyle w:val="slostrany"/>
      </w:rPr>
      <w:fldChar w:fldCharType="begin"/>
    </w:r>
    <w:r w:rsidR="00392E01">
      <w:rPr>
        <w:rStyle w:val="slostrany"/>
      </w:rPr>
      <w:instrText xml:space="preserve">PAGE  </w:instrText>
    </w:r>
    <w:r>
      <w:rPr>
        <w:rStyle w:val="slostrany"/>
      </w:rPr>
      <w:fldChar w:fldCharType="separate"/>
    </w:r>
    <w:r w:rsidR="00392E01">
      <w:rPr>
        <w:rStyle w:val="slostrany"/>
        <w:noProof/>
      </w:rPr>
      <w:t>98</w:t>
    </w:r>
    <w:r>
      <w:rPr>
        <w:rStyle w:val="slostrany"/>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E14D7D" w:rsidRDefault="00392E01" w:rsidP="00E14D7D">
    <w:pPr>
      <w:pStyle w:val="Pta"/>
      <w:rPr>
        <w:rStyle w:val="slostrany"/>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2B8" w:rsidRDefault="00B028D5" w:rsidP="00B732B8">
    <w:pPr>
      <w:spacing w:before="200"/>
      <w:jc w:val="center"/>
      <w:rPr>
        <w:rStyle w:val="slostrany"/>
      </w:rPr>
    </w:pPr>
    <w:r>
      <w:rPr>
        <w:rStyle w:val="slostrany"/>
      </w:rPr>
      <w:fldChar w:fldCharType="begin"/>
    </w:r>
    <w:r w:rsidR="00392E01">
      <w:rPr>
        <w:rStyle w:val="slostrany"/>
      </w:rPr>
      <w:instrText xml:space="preserve">PAGE  </w:instrText>
    </w:r>
    <w:r>
      <w:rPr>
        <w:rStyle w:val="slostrany"/>
      </w:rPr>
      <w:fldChar w:fldCharType="separate"/>
    </w:r>
    <w:r w:rsidR="00392E01">
      <w:rPr>
        <w:rStyle w:val="slostrany"/>
        <w:noProof/>
      </w:rPr>
      <w:t>64</w:t>
    </w:r>
    <w:r>
      <w:rPr>
        <w:rStyle w:val="slostrany"/>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2B8" w:rsidRDefault="00B028D5" w:rsidP="00B732B8">
    <w:pPr>
      <w:spacing w:before="200"/>
      <w:jc w:val="center"/>
      <w:rPr>
        <w:rStyle w:val="slostrany"/>
      </w:rPr>
    </w:pPr>
    <w:r>
      <w:rPr>
        <w:rStyle w:val="slostrany"/>
      </w:rPr>
      <w:fldChar w:fldCharType="begin"/>
    </w:r>
    <w:r w:rsidR="00392E01">
      <w:rPr>
        <w:rStyle w:val="slostrany"/>
      </w:rPr>
      <w:instrText xml:space="preserve">PAGE  </w:instrText>
    </w:r>
    <w:r>
      <w:rPr>
        <w:rStyle w:val="slostrany"/>
      </w:rPr>
      <w:fldChar w:fldCharType="separate"/>
    </w:r>
    <w:r w:rsidR="00392E01">
      <w:rPr>
        <w:rStyle w:val="slostrany"/>
        <w:noProof/>
      </w:rPr>
      <w:t>63</w:t>
    </w:r>
    <w:r>
      <w:rPr>
        <w:rStyle w:val="slostrany"/>
      </w:rP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2B8" w:rsidRPr="00F922A2" w:rsidRDefault="00392E01" w:rsidP="00F922A2">
    <w:pPr>
      <w:pStyle w:val="Pta"/>
      <w:rPr>
        <w:rStyle w:val="slostrany"/>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6A02B8" w:rsidRDefault="00392E01" w:rsidP="006A02B8">
    <w:pPr>
      <w:pStyle w:val="Pta"/>
      <w:rPr>
        <w:rStyle w:val="slostrany"/>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7D6E9E" w:rsidRDefault="00392E01" w:rsidP="007D6E9E">
    <w:pPr>
      <w:pStyle w:val="Pta"/>
      <w:rPr>
        <w:rStyle w:val="slostrany"/>
        <w:rFonts w:ascii="Times New Roman" w:hAnsi="Times New Roman" w:cs="Times New Roman"/>
        <w:color w:val="auto"/>
        <w:sz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E14D7D" w:rsidRDefault="00392E01" w:rsidP="00E14D7D">
    <w:pPr>
      <w:pStyle w:val="Pta"/>
      <w:rPr>
        <w:rStyle w:val="slostrany"/>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E9E" w:rsidRPr="007D6E9E" w:rsidRDefault="00392E01" w:rsidP="007D6E9E">
    <w:pPr>
      <w:pStyle w:val="Pta"/>
      <w:rPr>
        <w:rStyle w:val="slostrany"/>
        <w:rFonts w:ascii="Times New Roman" w:hAnsi="Times New Roman" w:cs="Times New Roman"/>
        <w:color w:val="auto"/>
        <w:sz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E14D7D" w:rsidRDefault="00392E01" w:rsidP="00E14D7D">
    <w:pPr>
      <w:pStyle w:val="Pta"/>
      <w:rPr>
        <w:rStyle w:val="slostrany"/>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Default="00392E01">
    <w:pPr>
      <w:spacing w:before="200"/>
      <w:jc w:val="center"/>
      <w:rPr>
        <w:rStyle w:val="slostrany"/>
      </w:rPr>
    </w:pPr>
    <w:r>
      <w:rPr>
        <w:rStyle w:val="slostrany"/>
      </w:rPr>
      <w:t>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E14D7D" w:rsidRDefault="00392E01" w:rsidP="00E14D7D">
    <w:pPr>
      <w:pStyle w:val="Pta"/>
      <w:rPr>
        <w:rStyle w:val="slostrany"/>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E14D7D" w:rsidRDefault="00392E01" w:rsidP="00E14D7D">
    <w:pPr>
      <w:pStyle w:val="Pta"/>
      <w:rPr>
        <w:rStyle w:val="slostrany"/>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8D5" w:rsidRDefault="00B028D5" w:rsidP="00B028D5">
      <w:r>
        <w:separator/>
      </w:r>
    </w:p>
  </w:footnote>
  <w:footnote w:type="continuationSeparator" w:id="0">
    <w:p w:rsidR="00B028D5" w:rsidRDefault="00B028D5" w:rsidP="00B028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E9E" w:rsidRDefault="00392E01">
    <w:pPr>
      <w:pStyle w:val="Hlavika"/>
    </w:pPr>
  </w:p>
  <w:p w:rsidR="007D6E9E" w:rsidRDefault="00392E01">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E14D7D" w:rsidRDefault="00392E01" w:rsidP="00E14D7D">
    <w:pPr>
      <w:pStyle w:val="Hlavik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7D6E9E" w:rsidRDefault="00392E01" w:rsidP="007D6E9E">
    <w:pPr>
      <w:pStyle w:val="Hlavik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Pr="00E14D7D" w:rsidRDefault="00392E01" w:rsidP="00E14D7D">
    <w:pPr>
      <w:pStyle w:val="Hlavik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A2" w:rsidRDefault="00392E01">
    <w:pPr>
      <w:pStyle w:val="enttepaire"/>
    </w:pPr>
    <w:r>
      <w:t>Arts and Cultural Education at School in Europe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CE20804"/>
    <w:lvl w:ilvl="0">
      <w:start w:val="1"/>
      <w:numFmt w:val="decimal"/>
      <w:lvlText w:val="%1."/>
      <w:lvlJc w:val="left"/>
      <w:pPr>
        <w:tabs>
          <w:tab w:val="num" w:pos="1492"/>
        </w:tabs>
        <w:ind w:left="1492" w:hanging="360"/>
      </w:pPr>
    </w:lvl>
  </w:abstractNum>
  <w:abstractNum w:abstractNumId="1">
    <w:nsid w:val="FFFFFF7D"/>
    <w:multiLevelType w:val="singleLevel"/>
    <w:tmpl w:val="487C418E"/>
    <w:lvl w:ilvl="0">
      <w:start w:val="1"/>
      <w:numFmt w:val="decimal"/>
      <w:lvlText w:val="%1."/>
      <w:lvlJc w:val="left"/>
      <w:pPr>
        <w:tabs>
          <w:tab w:val="num" w:pos="1209"/>
        </w:tabs>
        <w:ind w:left="1209" w:hanging="360"/>
      </w:pPr>
    </w:lvl>
  </w:abstractNum>
  <w:abstractNum w:abstractNumId="2">
    <w:nsid w:val="FFFFFF7E"/>
    <w:multiLevelType w:val="singleLevel"/>
    <w:tmpl w:val="7946CFCC"/>
    <w:lvl w:ilvl="0">
      <w:start w:val="1"/>
      <w:numFmt w:val="decimal"/>
      <w:lvlText w:val="%1."/>
      <w:lvlJc w:val="left"/>
      <w:pPr>
        <w:tabs>
          <w:tab w:val="num" w:pos="926"/>
        </w:tabs>
        <w:ind w:left="926" w:hanging="360"/>
      </w:pPr>
    </w:lvl>
  </w:abstractNum>
  <w:abstractNum w:abstractNumId="3">
    <w:nsid w:val="FFFFFF7F"/>
    <w:multiLevelType w:val="singleLevel"/>
    <w:tmpl w:val="CF0695E2"/>
    <w:lvl w:ilvl="0">
      <w:start w:val="1"/>
      <w:numFmt w:val="decimal"/>
      <w:lvlText w:val="%1."/>
      <w:lvlJc w:val="left"/>
      <w:pPr>
        <w:tabs>
          <w:tab w:val="num" w:pos="643"/>
        </w:tabs>
        <w:ind w:left="643" w:hanging="360"/>
      </w:pPr>
    </w:lvl>
  </w:abstractNum>
  <w:abstractNum w:abstractNumId="4">
    <w:nsid w:val="FFFFFF80"/>
    <w:multiLevelType w:val="singleLevel"/>
    <w:tmpl w:val="A2367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A0473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3288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AAAAE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04ECB8"/>
    <w:lvl w:ilvl="0">
      <w:start w:val="1"/>
      <w:numFmt w:val="decimal"/>
      <w:lvlText w:val="%1."/>
      <w:lvlJc w:val="left"/>
      <w:pPr>
        <w:tabs>
          <w:tab w:val="num" w:pos="360"/>
        </w:tabs>
        <w:ind w:left="360" w:hanging="360"/>
      </w:pPr>
    </w:lvl>
  </w:abstractNum>
  <w:abstractNum w:abstractNumId="9">
    <w:nsid w:val="FFFFFF89"/>
    <w:multiLevelType w:val="singleLevel"/>
    <w:tmpl w:val="CEFA0394"/>
    <w:lvl w:ilvl="0">
      <w:start w:val="1"/>
      <w:numFmt w:val="bullet"/>
      <w:lvlText w:val=""/>
      <w:lvlJc w:val="left"/>
      <w:pPr>
        <w:tabs>
          <w:tab w:val="num" w:pos="360"/>
        </w:tabs>
        <w:ind w:left="360" w:hanging="360"/>
      </w:pPr>
      <w:rPr>
        <w:rFonts w:ascii="Symbol" w:hAnsi="Symbol" w:hint="default"/>
      </w:rPr>
    </w:lvl>
  </w:abstractNum>
  <w:abstractNum w:abstractNumId="10">
    <w:nsid w:val="014557BD"/>
    <w:multiLevelType w:val="singleLevel"/>
    <w:tmpl w:val="E3525708"/>
    <w:lvl w:ilvl="0">
      <w:start w:val="1"/>
      <w:numFmt w:val="bullet"/>
      <w:pStyle w:val="texteparbullet"/>
      <w:lvlText w:val=""/>
      <w:lvlJc w:val="left"/>
      <w:pPr>
        <w:tabs>
          <w:tab w:val="num" w:pos="360"/>
        </w:tabs>
        <w:ind w:left="198" w:hanging="198"/>
      </w:pPr>
      <w:rPr>
        <w:rFonts w:ascii="Symbol" w:hAnsi="Symbol" w:hint="default"/>
      </w:rPr>
    </w:lvl>
  </w:abstractNum>
  <w:abstractNum w:abstractNumId="11">
    <w:nsid w:val="078D5734"/>
    <w:multiLevelType w:val="hybridMultilevel"/>
    <w:tmpl w:val="782A76CE"/>
    <w:lvl w:ilvl="0" w:tplc="08090001">
      <w:start w:val="1"/>
      <w:numFmt w:val="bullet"/>
      <w:lvlText w:val=""/>
      <w:lvlJc w:val="left"/>
      <w:pPr>
        <w:tabs>
          <w:tab w:val="num" w:pos="417"/>
        </w:tabs>
        <w:ind w:left="417"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92C1190"/>
    <w:multiLevelType w:val="multilevel"/>
    <w:tmpl w:val="D00CFF7A"/>
    <w:lvl w:ilvl="0">
      <w:start w:val="5"/>
      <w:numFmt w:val="bullet"/>
      <w:lvlText w:val="-"/>
      <w:lvlJc w:val="left"/>
      <w:pPr>
        <w:tabs>
          <w:tab w:val="num" w:pos="284"/>
        </w:tabs>
        <w:ind w:left="57" w:firstLine="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B48027A"/>
    <w:multiLevelType w:val="hybridMultilevel"/>
    <w:tmpl w:val="741A92C4"/>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4">
    <w:nsid w:val="0F282FE0"/>
    <w:multiLevelType w:val="multilevel"/>
    <w:tmpl w:val="DAD23F4C"/>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1314432"/>
    <w:multiLevelType w:val="multilevel"/>
    <w:tmpl w:val="2C0E85F8"/>
    <w:lvl w:ilvl="0">
      <w:start w:val="1"/>
      <w:numFmt w:val="decimal"/>
      <w:lvlRestart w:val="0"/>
      <w:pStyle w:val="NumPar1"/>
      <w:lvlText w:val="%1."/>
      <w:lvlJc w:val="left"/>
      <w:pPr>
        <w:tabs>
          <w:tab w:val="num" w:pos="850"/>
        </w:tabs>
        <w:ind w:left="850" w:hanging="850"/>
      </w:pPr>
      <w:rPr>
        <w:b w:val="0"/>
        <w:i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22258E3"/>
    <w:multiLevelType w:val="hybridMultilevel"/>
    <w:tmpl w:val="3ABE0FD6"/>
    <w:lvl w:ilvl="0" w:tplc="0026F37C">
      <w:start w:val="1"/>
      <w:numFmt w:val="bullet"/>
      <w:pStyle w:val="textparboule2"/>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18D26277"/>
    <w:multiLevelType w:val="hybridMultilevel"/>
    <w:tmpl w:val="8CDEC074"/>
    <w:lvl w:ilvl="0" w:tplc="FD0A081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1ED2276C"/>
    <w:multiLevelType w:val="hybridMultilevel"/>
    <w:tmpl w:val="466C0B5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4DA74C8"/>
    <w:multiLevelType w:val="singleLevel"/>
    <w:tmpl w:val="060688DC"/>
    <w:lvl w:ilvl="0">
      <w:start w:val="1"/>
      <w:numFmt w:val="bullet"/>
      <w:pStyle w:val="sousboule"/>
      <w:lvlText w:val=""/>
      <w:lvlJc w:val="left"/>
      <w:pPr>
        <w:tabs>
          <w:tab w:val="num" w:pos="360"/>
        </w:tabs>
        <w:ind w:left="360" w:hanging="360"/>
      </w:pPr>
      <w:rPr>
        <w:rFonts w:ascii="Symbol" w:hAnsi="Symbol" w:hint="default"/>
        <w:sz w:val="14"/>
      </w:rPr>
    </w:lvl>
  </w:abstractNum>
  <w:abstractNum w:abstractNumId="20">
    <w:nsid w:val="2D706A34"/>
    <w:multiLevelType w:val="hybridMultilevel"/>
    <w:tmpl w:val="5BA2BAB6"/>
    <w:lvl w:ilvl="0" w:tplc="5C361A10">
      <w:start w:val="5"/>
      <w:numFmt w:val="bullet"/>
      <w:lvlText w:val="-"/>
      <w:lvlJc w:val="left"/>
      <w:pPr>
        <w:tabs>
          <w:tab w:val="num" w:pos="284"/>
        </w:tabs>
        <w:ind w:left="57" w:firstLine="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7A1585A"/>
    <w:multiLevelType w:val="hybridMultilevel"/>
    <w:tmpl w:val="9CA8887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nsid w:val="38EC008B"/>
    <w:multiLevelType w:val="hybridMultilevel"/>
    <w:tmpl w:val="79809672"/>
    <w:lvl w:ilvl="0" w:tplc="5686E1C4">
      <w:start w:val="1"/>
      <w:numFmt w:val="bullet"/>
      <w:pStyle w:val="Style2"/>
      <w:lvlText w:val=""/>
      <w:lvlJc w:val="left"/>
      <w:pPr>
        <w:tabs>
          <w:tab w:val="num" w:pos="720"/>
        </w:tabs>
        <w:ind w:left="720" w:hanging="360"/>
      </w:pPr>
      <w:rPr>
        <w:rFonts w:ascii="Symbol" w:hAnsi="Symbol" w:cs="Times New Roman"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3">
    <w:nsid w:val="3F5443B3"/>
    <w:multiLevelType w:val="hybridMultilevel"/>
    <w:tmpl w:val="DB02930E"/>
    <w:lvl w:ilvl="0" w:tplc="04070001">
      <w:start w:val="1"/>
      <w:numFmt w:val="bullet"/>
      <w:lvlText w:val=""/>
      <w:lvlJc w:val="left"/>
      <w:pPr>
        <w:tabs>
          <w:tab w:val="num" w:pos="1500"/>
        </w:tabs>
        <w:ind w:left="1500" w:hanging="360"/>
      </w:pPr>
      <w:rPr>
        <w:rFonts w:ascii="Symbol" w:hAnsi="Symbol" w:hint="default"/>
      </w:rPr>
    </w:lvl>
    <w:lvl w:ilvl="1" w:tplc="04070003" w:tentative="1">
      <w:start w:val="1"/>
      <w:numFmt w:val="bullet"/>
      <w:lvlText w:val="o"/>
      <w:lvlJc w:val="left"/>
      <w:pPr>
        <w:tabs>
          <w:tab w:val="num" w:pos="2220"/>
        </w:tabs>
        <w:ind w:left="2220" w:hanging="360"/>
      </w:pPr>
      <w:rPr>
        <w:rFonts w:ascii="Courier New" w:hAnsi="Courier New" w:cs="Courier New" w:hint="default"/>
      </w:rPr>
    </w:lvl>
    <w:lvl w:ilvl="2" w:tplc="04070005" w:tentative="1">
      <w:start w:val="1"/>
      <w:numFmt w:val="bullet"/>
      <w:lvlText w:val=""/>
      <w:lvlJc w:val="left"/>
      <w:pPr>
        <w:tabs>
          <w:tab w:val="num" w:pos="2940"/>
        </w:tabs>
        <w:ind w:left="2940" w:hanging="360"/>
      </w:pPr>
      <w:rPr>
        <w:rFonts w:ascii="Wingdings" w:hAnsi="Wingdings" w:hint="default"/>
      </w:rPr>
    </w:lvl>
    <w:lvl w:ilvl="3" w:tplc="04070001" w:tentative="1">
      <w:start w:val="1"/>
      <w:numFmt w:val="bullet"/>
      <w:lvlText w:val=""/>
      <w:lvlJc w:val="left"/>
      <w:pPr>
        <w:tabs>
          <w:tab w:val="num" w:pos="3660"/>
        </w:tabs>
        <w:ind w:left="3660" w:hanging="360"/>
      </w:pPr>
      <w:rPr>
        <w:rFonts w:ascii="Symbol" w:hAnsi="Symbol" w:hint="default"/>
      </w:rPr>
    </w:lvl>
    <w:lvl w:ilvl="4" w:tplc="04070003" w:tentative="1">
      <w:start w:val="1"/>
      <w:numFmt w:val="bullet"/>
      <w:lvlText w:val="o"/>
      <w:lvlJc w:val="left"/>
      <w:pPr>
        <w:tabs>
          <w:tab w:val="num" w:pos="4380"/>
        </w:tabs>
        <w:ind w:left="4380" w:hanging="360"/>
      </w:pPr>
      <w:rPr>
        <w:rFonts w:ascii="Courier New" w:hAnsi="Courier New" w:cs="Courier New" w:hint="default"/>
      </w:rPr>
    </w:lvl>
    <w:lvl w:ilvl="5" w:tplc="04070005" w:tentative="1">
      <w:start w:val="1"/>
      <w:numFmt w:val="bullet"/>
      <w:lvlText w:val=""/>
      <w:lvlJc w:val="left"/>
      <w:pPr>
        <w:tabs>
          <w:tab w:val="num" w:pos="5100"/>
        </w:tabs>
        <w:ind w:left="5100" w:hanging="360"/>
      </w:pPr>
      <w:rPr>
        <w:rFonts w:ascii="Wingdings" w:hAnsi="Wingdings" w:hint="default"/>
      </w:rPr>
    </w:lvl>
    <w:lvl w:ilvl="6" w:tplc="04070001" w:tentative="1">
      <w:start w:val="1"/>
      <w:numFmt w:val="bullet"/>
      <w:lvlText w:val=""/>
      <w:lvlJc w:val="left"/>
      <w:pPr>
        <w:tabs>
          <w:tab w:val="num" w:pos="5820"/>
        </w:tabs>
        <w:ind w:left="5820" w:hanging="360"/>
      </w:pPr>
      <w:rPr>
        <w:rFonts w:ascii="Symbol" w:hAnsi="Symbol" w:hint="default"/>
      </w:rPr>
    </w:lvl>
    <w:lvl w:ilvl="7" w:tplc="04070003" w:tentative="1">
      <w:start w:val="1"/>
      <w:numFmt w:val="bullet"/>
      <w:lvlText w:val="o"/>
      <w:lvlJc w:val="left"/>
      <w:pPr>
        <w:tabs>
          <w:tab w:val="num" w:pos="6540"/>
        </w:tabs>
        <w:ind w:left="6540" w:hanging="360"/>
      </w:pPr>
      <w:rPr>
        <w:rFonts w:ascii="Courier New" w:hAnsi="Courier New" w:cs="Courier New" w:hint="default"/>
      </w:rPr>
    </w:lvl>
    <w:lvl w:ilvl="8" w:tplc="04070005" w:tentative="1">
      <w:start w:val="1"/>
      <w:numFmt w:val="bullet"/>
      <w:lvlText w:val=""/>
      <w:lvlJc w:val="left"/>
      <w:pPr>
        <w:tabs>
          <w:tab w:val="num" w:pos="7260"/>
        </w:tabs>
        <w:ind w:left="7260" w:hanging="360"/>
      </w:pPr>
      <w:rPr>
        <w:rFonts w:ascii="Wingdings" w:hAnsi="Wingdings" w:hint="default"/>
      </w:rPr>
    </w:lvl>
  </w:abstractNum>
  <w:abstractNum w:abstractNumId="24">
    <w:nsid w:val="41A51F53"/>
    <w:multiLevelType w:val="hybridMultilevel"/>
    <w:tmpl w:val="B30690D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286494D"/>
    <w:multiLevelType w:val="hybridMultilevel"/>
    <w:tmpl w:val="84CA9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4C73D81"/>
    <w:multiLevelType w:val="hybridMultilevel"/>
    <w:tmpl w:val="5FDA8A4A"/>
    <w:lvl w:ilvl="0" w:tplc="44AA90AA">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8257DBB"/>
    <w:multiLevelType w:val="hybridMultilevel"/>
    <w:tmpl w:val="6984646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882BFD"/>
    <w:multiLevelType w:val="hybridMultilevel"/>
    <w:tmpl w:val="7D1886D0"/>
    <w:lvl w:ilvl="0" w:tplc="FD0A0810">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4E1A72CC"/>
    <w:multiLevelType w:val="hybridMultilevel"/>
    <w:tmpl w:val="BC1621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571285A"/>
    <w:multiLevelType w:val="hybridMultilevel"/>
    <w:tmpl w:val="1CC2A15E"/>
    <w:lvl w:ilvl="0" w:tplc="D53CFB58">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5AD60A67"/>
    <w:multiLevelType w:val="hybridMultilevel"/>
    <w:tmpl w:val="86529D86"/>
    <w:lvl w:ilvl="0" w:tplc="08090001">
      <w:start w:val="1"/>
      <w:numFmt w:val="bullet"/>
      <w:lvlText w:val=""/>
      <w:lvlJc w:val="left"/>
      <w:pPr>
        <w:tabs>
          <w:tab w:val="num" w:pos="417"/>
        </w:tabs>
        <w:ind w:left="417"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50367A2"/>
    <w:multiLevelType w:val="hybridMultilevel"/>
    <w:tmpl w:val="DAD23F4C"/>
    <w:lvl w:ilvl="0" w:tplc="0480EBBE">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5762DF7"/>
    <w:multiLevelType w:val="hybridMultilevel"/>
    <w:tmpl w:val="2B224174"/>
    <w:lvl w:ilvl="0" w:tplc="81004D2C">
      <w:start w:val="1"/>
      <w:numFmt w:val="lowerRoman"/>
      <w:lvlText w:val="%1."/>
      <w:lvlJc w:val="right"/>
      <w:pPr>
        <w:ind w:left="1440" w:hanging="360"/>
      </w:pPr>
      <w:rPr>
        <w:rFonts w:ascii="Times New Roman" w:hAnsi="Times New Roman" w:cs="Times New Roman" w:hint="default"/>
        <w:b/>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34">
    <w:nsid w:val="661B70E8"/>
    <w:multiLevelType w:val="hybridMultilevel"/>
    <w:tmpl w:val="D45C74FA"/>
    <w:lvl w:ilvl="0" w:tplc="58820E58">
      <w:start w:val="1"/>
      <w:numFmt w:val="bullet"/>
      <w:pStyle w:val="Bold"/>
      <w:lvlText w:val=""/>
      <w:lvlJc w:val="left"/>
      <w:pPr>
        <w:tabs>
          <w:tab w:val="num" w:pos="360"/>
        </w:tabs>
        <w:ind w:left="340" w:hanging="340"/>
      </w:pPr>
      <w:rPr>
        <w:rFonts w:ascii="Symbol" w:hAnsi="Symbol" w:hint="default"/>
        <w:color w:val="auto"/>
        <w:spacing w:val="0"/>
        <w:kern w:val="16"/>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8794424"/>
    <w:multiLevelType w:val="hybridMultilevel"/>
    <w:tmpl w:val="D7183C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6F75206B"/>
    <w:multiLevelType w:val="hybridMultilevel"/>
    <w:tmpl w:val="9B8017AC"/>
    <w:lvl w:ilvl="0" w:tplc="FD0A081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CA81B67"/>
    <w:multiLevelType w:val="hybridMultilevel"/>
    <w:tmpl w:val="D00CFF7A"/>
    <w:lvl w:ilvl="0" w:tplc="5C361A10">
      <w:start w:val="5"/>
      <w:numFmt w:val="bullet"/>
      <w:lvlText w:val="-"/>
      <w:lvlJc w:val="left"/>
      <w:pPr>
        <w:tabs>
          <w:tab w:val="num" w:pos="284"/>
        </w:tabs>
        <w:ind w:left="57" w:firstLine="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36"/>
  </w:num>
  <w:num w:numId="15">
    <w:abstractNumId w:val="10"/>
  </w:num>
  <w:num w:numId="16">
    <w:abstractNumId w:val="33"/>
  </w:num>
  <w:num w:numId="17">
    <w:abstractNumId w:val="23"/>
  </w:num>
  <w:num w:numId="18">
    <w:abstractNumId w:val="13"/>
  </w:num>
  <w:num w:numId="19">
    <w:abstractNumId w:val="18"/>
  </w:num>
  <w:num w:numId="20">
    <w:abstractNumId w:val="30"/>
  </w:num>
  <w:num w:numId="21">
    <w:abstractNumId w:val="24"/>
  </w:num>
  <w:num w:numId="22">
    <w:abstractNumId w:val="26"/>
  </w:num>
  <w:num w:numId="23">
    <w:abstractNumId w:val="29"/>
  </w:num>
  <w:num w:numId="24">
    <w:abstractNumId w:val="27"/>
  </w:num>
  <w:num w:numId="25">
    <w:abstractNumId w:val="21"/>
  </w:num>
  <w:num w:numId="26">
    <w:abstractNumId w:val="20"/>
  </w:num>
  <w:num w:numId="27">
    <w:abstractNumId w:val="37"/>
  </w:num>
  <w:num w:numId="28">
    <w:abstractNumId w:val="12"/>
  </w:num>
  <w:num w:numId="29">
    <w:abstractNumId w:val="11"/>
  </w:num>
  <w:num w:numId="30">
    <w:abstractNumId w:val="15"/>
  </w:num>
  <w:num w:numId="31">
    <w:abstractNumId w:val="19"/>
  </w:num>
  <w:num w:numId="32">
    <w:abstractNumId w:val="22"/>
  </w:num>
  <w:num w:numId="33">
    <w:abstractNumId w:val="16"/>
  </w:num>
  <w:num w:numId="34">
    <w:abstractNumId w:val="34"/>
  </w:num>
  <w:num w:numId="35">
    <w:abstractNumId w:val="35"/>
  </w:num>
  <w:num w:numId="36">
    <w:abstractNumId w:val="32"/>
  </w:num>
  <w:num w:numId="37">
    <w:abstractNumId w:val="14"/>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hyphenationZone w:val="425"/>
  <w:characterSpacingControl w:val="doNotCompress"/>
  <w:footnotePr>
    <w:footnote w:id="-1"/>
    <w:footnote w:id="0"/>
  </w:footnotePr>
  <w:endnotePr>
    <w:endnote w:id="-1"/>
    <w:endnote w:id="0"/>
  </w:endnotePr>
  <w:compat/>
  <w:rsids>
    <w:rsidRoot w:val="0049211D"/>
    <w:rsid w:val="00392E01"/>
    <w:rsid w:val="0049211D"/>
    <w:rsid w:val="004C259B"/>
    <w:rsid w:val="00AB090A"/>
    <w:rsid w:val="00B028D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211D"/>
    <w:rPr>
      <w:rFonts w:eastAsia="Times New Roman"/>
      <w:lang w:val="en-GB"/>
    </w:rPr>
  </w:style>
  <w:style w:type="paragraph" w:styleId="Nadpis1">
    <w:name w:val="heading 1"/>
    <w:basedOn w:val="Normlny"/>
    <w:next w:val="Normlny"/>
    <w:link w:val="Nadpis1Char"/>
    <w:qFormat/>
    <w:rsid w:val="0049211D"/>
    <w:pPr>
      <w:keepNext/>
      <w:pBdr>
        <w:bottom w:val="single" w:sz="4" w:space="1" w:color="993300"/>
      </w:pBdr>
      <w:spacing w:before="480" w:after="300" w:line="300" w:lineRule="auto"/>
      <w:outlineLvl w:val="0"/>
    </w:pPr>
    <w:rPr>
      <w:rFonts w:ascii="Arial" w:hAnsi="Arial" w:cs="Arial"/>
      <w:b/>
      <w:caps/>
      <w:color w:val="993300"/>
      <w:lang w:val="fr-FR"/>
    </w:rPr>
  </w:style>
  <w:style w:type="paragraph" w:styleId="Nadpis2">
    <w:name w:val="heading 2"/>
    <w:basedOn w:val="Normlny"/>
    <w:next w:val="Normlny"/>
    <w:link w:val="Nadpis2Char"/>
    <w:qFormat/>
    <w:rsid w:val="0049211D"/>
    <w:pPr>
      <w:keepNext/>
      <w:tabs>
        <w:tab w:val="left" w:pos="540"/>
      </w:tabs>
      <w:spacing w:before="320" w:after="160"/>
      <w:ind w:left="539" w:hanging="539"/>
      <w:outlineLvl w:val="1"/>
    </w:pPr>
    <w:rPr>
      <w:rFonts w:ascii="Arial" w:hAnsi="Arial" w:cs="Arial"/>
      <w:b/>
      <w:bCs/>
      <w:color w:val="993300"/>
      <w:spacing w:val="10"/>
    </w:rPr>
  </w:style>
  <w:style w:type="paragraph" w:styleId="Nadpis3">
    <w:name w:val="heading 3"/>
    <w:basedOn w:val="Normlny"/>
    <w:next w:val="Normlny"/>
    <w:link w:val="Nadpis3Char"/>
    <w:qFormat/>
    <w:rsid w:val="0049211D"/>
    <w:pPr>
      <w:keepNext/>
      <w:spacing w:before="270" w:after="160"/>
      <w:jc w:val="both"/>
      <w:outlineLvl w:val="2"/>
    </w:pPr>
    <w:rPr>
      <w:rFonts w:ascii="Arial Narrow" w:hAnsi="Arial Narrow"/>
      <w:b/>
      <w:color w:val="993300"/>
      <w:spacing w:val="20"/>
      <w:szCs w:val="20"/>
    </w:rPr>
  </w:style>
  <w:style w:type="paragraph" w:styleId="Nadpis4">
    <w:name w:val="heading 4"/>
    <w:basedOn w:val="Normlny"/>
    <w:next w:val="Normlny"/>
    <w:link w:val="Nadpis4Char"/>
    <w:qFormat/>
    <w:rsid w:val="0049211D"/>
    <w:pPr>
      <w:keepNext/>
      <w:spacing w:before="240" w:after="160"/>
      <w:outlineLvl w:val="3"/>
    </w:pPr>
    <w:rPr>
      <w:rFonts w:ascii="Arial" w:hAnsi="Arial" w:cs="Arial"/>
      <w:b/>
      <w:bCs/>
      <w:color w:val="993300"/>
      <w:sz w:val="20"/>
      <w:szCs w:val="20"/>
    </w:rPr>
  </w:style>
  <w:style w:type="paragraph" w:styleId="Nadpis5">
    <w:name w:val="heading 5"/>
    <w:basedOn w:val="Normlny"/>
    <w:next w:val="Normlny"/>
    <w:link w:val="Nadpis5Char"/>
    <w:qFormat/>
    <w:rsid w:val="0049211D"/>
    <w:pPr>
      <w:keepNext/>
      <w:spacing w:before="100" w:after="100"/>
      <w:outlineLvl w:val="4"/>
    </w:pPr>
    <w:rPr>
      <w:rFonts w:ascii="Arial Narrow" w:hAnsi="Arial Narrow"/>
      <w:bCs/>
      <w:spacing w:val="8"/>
      <w:sz w:val="22"/>
      <w:szCs w:val="22"/>
      <w:u w:val="single"/>
      <w:lang w:val="en-IE"/>
    </w:rPr>
  </w:style>
  <w:style w:type="paragraph" w:styleId="Nadpis6">
    <w:name w:val="heading 6"/>
    <w:basedOn w:val="Normlny"/>
    <w:next w:val="Normlny"/>
    <w:link w:val="Nadpis6Char"/>
    <w:qFormat/>
    <w:rsid w:val="0049211D"/>
    <w:pPr>
      <w:keepNext/>
      <w:ind w:left="57"/>
      <w:outlineLvl w:val="5"/>
    </w:pPr>
    <w:rPr>
      <w:rFonts w:ascii="Myriad Pro SemiExt" w:hAnsi="Myriad Pro SemiExt" w:cs="Arial"/>
      <w:b/>
      <w:bCs/>
      <w:sz w:val="16"/>
      <w:szCs w:val="20"/>
      <w:lang w:val="fr-FR"/>
    </w:rPr>
  </w:style>
  <w:style w:type="paragraph" w:styleId="Nadpis7">
    <w:name w:val="heading 7"/>
    <w:basedOn w:val="Normlny"/>
    <w:next w:val="Normlny"/>
    <w:link w:val="Nadpis7Char"/>
    <w:qFormat/>
    <w:rsid w:val="0049211D"/>
    <w:pPr>
      <w:keepNext/>
      <w:ind w:left="57"/>
      <w:outlineLvl w:val="6"/>
    </w:pPr>
    <w:rPr>
      <w:rFonts w:ascii="Myriad Pro Light" w:hAnsi="Myriad Pro Light" w:cs="Arial"/>
      <w:b/>
      <w:bCs/>
      <w:sz w:val="16"/>
      <w:szCs w:val="20"/>
      <w:lang w:val="en-US"/>
    </w:rPr>
  </w:style>
  <w:style w:type="paragraph" w:styleId="Nadpis8">
    <w:name w:val="heading 8"/>
    <w:basedOn w:val="Normlny"/>
    <w:next w:val="Normlny"/>
    <w:link w:val="Nadpis8Char"/>
    <w:qFormat/>
    <w:rsid w:val="0049211D"/>
    <w:pPr>
      <w:keepNext/>
      <w:ind w:left="57"/>
      <w:outlineLvl w:val="7"/>
    </w:pPr>
    <w:rPr>
      <w:rFonts w:ascii="Myriad Pro Light" w:hAnsi="Myriad Pro Light" w:cs="Arial"/>
      <w:b/>
      <w:bCs/>
      <w:sz w:val="16"/>
      <w:szCs w:val="20"/>
      <w:lang w:val="en-US"/>
    </w:rPr>
  </w:style>
  <w:style w:type="paragraph" w:styleId="Nadpis9">
    <w:name w:val="heading 9"/>
    <w:basedOn w:val="Normlny"/>
    <w:next w:val="Normlny"/>
    <w:link w:val="Nadpis9Char"/>
    <w:qFormat/>
    <w:rsid w:val="0049211D"/>
    <w:pPr>
      <w:spacing w:before="240" w:after="60"/>
      <w:outlineLvl w:val="8"/>
    </w:pPr>
    <w:rPr>
      <w:rFonts w:ascii="Myriad Pro" w:hAnsi="Myriad Pro" w:cs="Arial"/>
      <w:spacing w:val="20"/>
      <w:szCs w:val="22"/>
      <w:lang w:val="fr-FR"/>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9211D"/>
    <w:rPr>
      <w:rFonts w:ascii="Arial" w:eastAsia="Times New Roman" w:hAnsi="Arial" w:cs="Arial"/>
      <w:b/>
      <w:caps/>
      <w:color w:val="993300"/>
      <w:lang w:val="fr-FR"/>
    </w:rPr>
  </w:style>
  <w:style w:type="character" w:customStyle="1" w:styleId="Nadpis2Char">
    <w:name w:val="Nadpis 2 Char"/>
    <w:basedOn w:val="Predvolenpsmoodseku"/>
    <w:link w:val="Nadpis2"/>
    <w:rsid w:val="0049211D"/>
    <w:rPr>
      <w:rFonts w:ascii="Arial" w:eastAsia="Times New Roman" w:hAnsi="Arial" w:cs="Arial"/>
      <w:b/>
      <w:bCs/>
      <w:color w:val="993300"/>
      <w:spacing w:val="10"/>
      <w:lang w:val="en-GB"/>
    </w:rPr>
  </w:style>
  <w:style w:type="character" w:customStyle="1" w:styleId="Nadpis3Char">
    <w:name w:val="Nadpis 3 Char"/>
    <w:basedOn w:val="Predvolenpsmoodseku"/>
    <w:link w:val="Nadpis3"/>
    <w:rsid w:val="0049211D"/>
    <w:rPr>
      <w:rFonts w:ascii="Arial Narrow" w:eastAsia="Times New Roman" w:hAnsi="Arial Narrow"/>
      <w:b/>
      <w:color w:val="993300"/>
      <w:spacing w:val="20"/>
      <w:szCs w:val="20"/>
      <w:lang w:val="en-GB"/>
    </w:rPr>
  </w:style>
  <w:style w:type="character" w:customStyle="1" w:styleId="Nadpis4Char">
    <w:name w:val="Nadpis 4 Char"/>
    <w:basedOn w:val="Predvolenpsmoodseku"/>
    <w:link w:val="Nadpis4"/>
    <w:rsid w:val="0049211D"/>
    <w:rPr>
      <w:rFonts w:ascii="Arial" w:eastAsia="Times New Roman" w:hAnsi="Arial" w:cs="Arial"/>
      <w:b/>
      <w:bCs/>
      <w:color w:val="993300"/>
      <w:sz w:val="20"/>
      <w:szCs w:val="20"/>
      <w:lang w:val="en-GB"/>
    </w:rPr>
  </w:style>
  <w:style w:type="character" w:customStyle="1" w:styleId="Nadpis5Char">
    <w:name w:val="Nadpis 5 Char"/>
    <w:basedOn w:val="Predvolenpsmoodseku"/>
    <w:link w:val="Nadpis5"/>
    <w:rsid w:val="0049211D"/>
    <w:rPr>
      <w:rFonts w:ascii="Arial Narrow" w:eastAsia="Times New Roman" w:hAnsi="Arial Narrow"/>
      <w:bCs/>
      <w:spacing w:val="8"/>
      <w:sz w:val="22"/>
      <w:szCs w:val="22"/>
      <w:u w:val="single"/>
      <w:lang w:val="en-IE"/>
    </w:rPr>
  </w:style>
  <w:style w:type="character" w:customStyle="1" w:styleId="Nadpis6Char">
    <w:name w:val="Nadpis 6 Char"/>
    <w:basedOn w:val="Predvolenpsmoodseku"/>
    <w:link w:val="Nadpis6"/>
    <w:rsid w:val="0049211D"/>
    <w:rPr>
      <w:rFonts w:ascii="Myriad Pro SemiExt" w:eastAsia="Times New Roman" w:hAnsi="Myriad Pro SemiExt" w:cs="Arial"/>
      <w:b/>
      <w:bCs/>
      <w:sz w:val="16"/>
      <w:szCs w:val="20"/>
      <w:lang w:val="fr-FR"/>
    </w:rPr>
  </w:style>
  <w:style w:type="character" w:customStyle="1" w:styleId="Nadpis7Char">
    <w:name w:val="Nadpis 7 Char"/>
    <w:basedOn w:val="Predvolenpsmoodseku"/>
    <w:link w:val="Nadpis7"/>
    <w:rsid w:val="0049211D"/>
    <w:rPr>
      <w:rFonts w:ascii="Myriad Pro Light" w:eastAsia="Times New Roman" w:hAnsi="Myriad Pro Light" w:cs="Arial"/>
      <w:b/>
      <w:bCs/>
      <w:sz w:val="16"/>
      <w:szCs w:val="20"/>
      <w:lang w:val="en-US"/>
    </w:rPr>
  </w:style>
  <w:style w:type="character" w:customStyle="1" w:styleId="Nadpis8Char">
    <w:name w:val="Nadpis 8 Char"/>
    <w:basedOn w:val="Predvolenpsmoodseku"/>
    <w:link w:val="Nadpis8"/>
    <w:rsid w:val="0049211D"/>
    <w:rPr>
      <w:rFonts w:ascii="Myriad Pro Light" w:eastAsia="Times New Roman" w:hAnsi="Myriad Pro Light" w:cs="Arial"/>
      <w:b/>
      <w:bCs/>
      <w:sz w:val="16"/>
      <w:szCs w:val="20"/>
      <w:lang w:val="en-US"/>
    </w:rPr>
  </w:style>
  <w:style w:type="character" w:customStyle="1" w:styleId="Nadpis9Char">
    <w:name w:val="Nadpis 9 Char"/>
    <w:basedOn w:val="Predvolenpsmoodseku"/>
    <w:link w:val="Nadpis9"/>
    <w:rsid w:val="0049211D"/>
    <w:rPr>
      <w:rFonts w:ascii="Myriad Pro" w:eastAsia="Times New Roman" w:hAnsi="Myriad Pro" w:cs="Arial"/>
      <w:spacing w:val="20"/>
      <w:szCs w:val="22"/>
      <w:lang w:val="fr-FR"/>
    </w:rPr>
  </w:style>
  <w:style w:type="paragraph" w:styleId="Zkladntext">
    <w:name w:val="Body Text"/>
    <w:basedOn w:val="Normlny"/>
    <w:link w:val="ZkladntextChar"/>
    <w:semiHidden/>
    <w:rsid w:val="0049211D"/>
    <w:rPr>
      <w:rFonts w:ascii="Arial" w:hAnsi="Arial"/>
      <w:bCs/>
      <w:sz w:val="20"/>
    </w:rPr>
  </w:style>
  <w:style w:type="character" w:customStyle="1" w:styleId="ZkladntextChar">
    <w:name w:val="Základný text Char"/>
    <w:basedOn w:val="Predvolenpsmoodseku"/>
    <w:link w:val="Zkladntext"/>
    <w:semiHidden/>
    <w:rsid w:val="0049211D"/>
    <w:rPr>
      <w:rFonts w:ascii="Arial" w:eastAsia="Times New Roman" w:hAnsi="Arial"/>
      <w:bCs/>
      <w:sz w:val="20"/>
      <w:lang w:val="en-GB"/>
    </w:rPr>
  </w:style>
  <w:style w:type="paragraph" w:customStyle="1" w:styleId="textepar">
    <w:name w:val="texte+par"/>
    <w:rsid w:val="0049211D"/>
    <w:pPr>
      <w:spacing w:before="160" w:line="300" w:lineRule="auto"/>
      <w:jc w:val="both"/>
    </w:pPr>
    <w:rPr>
      <w:rFonts w:ascii="Arial" w:eastAsia="Times New Roman" w:hAnsi="Arial" w:cs="Arial"/>
      <w:sz w:val="20"/>
      <w:szCs w:val="20"/>
      <w:lang w:val="en-GB"/>
    </w:rPr>
  </w:style>
  <w:style w:type="character" w:customStyle="1" w:styleId="texteparCar">
    <w:name w:val="texte+par Car"/>
    <w:basedOn w:val="Predvolenpsmoodseku"/>
    <w:rsid w:val="0049211D"/>
    <w:rPr>
      <w:rFonts w:ascii="Arial" w:hAnsi="Arial" w:cs="Arial"/>
      <w:lang w:val="en-GB" w:eastAsia="en-US" w:bidi="ar-SA"/>
    </w:rPr>
  </w:style>
  <w:style w:type="paragraph" w:styleId="Pta">
    <w:name w:val="footer"/>
    <w:basedOn w:val="Normlny"/>
    <w:link w:val="PtaChar"/>
    <w:semiHidden/>
    <w:rsid w:val="0049211D"/>
    <w:pPr>
      <w:tabs>
        <w:tab w:val="center" w:pos="4153"/>
        <w:tab w:val="right" w:pos="8306"/>
      </w:tabs>
    </w:pPr>
  </w:style>
  <w:style w:type="character" w:customStyle="1" w:styleId="PtaChar">
    <w:name w:val="Päta Char"/>
    <w:basedOn w:val="Predvolenpsmoodseku"/>
    <w:link w:val="Pta"/>
    <w:semiHidden/>
    <w:rsid w:val="0049211D"/>
    <w:rPr>
      <w:rFonts w:eastAsia="Times New Roman"/>
      <w:lang w:val="en-GB"/>
    </w:rPr>
  </w:style>
  <w:style w:type="paragraph" w:styleId="Zkladntext2">
    <w:name w:val="Body Text 2"/>
    <w:basedOn w:val="Normlny"/>
    <w:link w:val="Zkladntext2Char"/>
    <w:semiHidden/>
    <w:rsid w:val="0049211D"/>
    <w:pPr>
      <w:jc w:val="center"/>
    </w:pPr>
    <w:rPr>
      <w:rFonts w:ascii="Palatino Linotype" w:hAnsi="Palatino Linotype"/>
      <w:b/>
      <w:bCs/>
      <w:sz w:val="32"/>
      <w:lang w:val="fr-BE"/>
    </w:rPr>
  </w:style>
  <w:style w:type="character" w:customStyle="1" w:styleId="Zkladntext2Char">
    <w:name w:val="Základný text 2 Char"/>
    <w:basedOn w:val="Predvolenpsmoodseku"/>
    <w:link w:val="Zkladntext2"/>
    <w:semiHidden/>
    <w:rsid w:val="0049211D"/>
    <w:rPr>
      <w:rFonts w:ascii="Palatino Linotype" w:eastAsia="Times New Roman" w:hAnsi="Palatino Linotype"/>
      <w:b/>
      <w:bCs/>
      <w:sz w:val="32"/>
      <w:lang w:val="fr-BE"/>
    </w:rPr>
  </w:style>
  <w:style w:type="paragraph" w:customStyle="1" w:styleId="texte8">
    <w:name w:val="texte8"/>
    <w:rsid w:val="0049211D"/>
    <w:pPr>
      <w:widowControl w:val="0"/>
      <w:jc w:val="both"/>
    </w:pPr>
    <w:rPr>
      <w:rFonts w:ascii="Arial" w:eastAsia="Times New Roman" w:hAnsi="Arial" w:cs="Arial"/>
      <w:snapToGrid w:val="0"/>
      <w:sz w:val="16"/>
      <w:szCs w:val="16"/>
      <w:lang w:val="fr-FR"/>
    </w:rPr>
  </w:style>
  <w:style w:type="character" w:customStyle="1" w:styleId="defaultlabelstyle">
    <w:name w:val="defaultlabelstyle"/>
    <w:basedOn w:val="Predvolenpsmoodseku"/>
    <w:rsid w:val="0049211D"/>
  </w:style>
  <w:style w:type="character" w:styleId="Hypertextovprepojenie">
    <w:name w:val="Hyperlink"/>
    <w:basedOn w:val="Predvolenpsmoodseku"/>
    <w:semiHidden/>
    <w:rsid w:val="0049211D"/>
    <w:rPr>
      <w:color w:val="333399"/>
      <w:u w:val="none"/>
    </w:rPr>
  </w:style>
  <w:style w:type="paragraph" w:styleId="Hlavika">
    <w:name w:val="header"/>
    <w:basedOn w:val="Normlny"/>
    <w:link w:val="HlavikaChar"/>
    <w:uiPriority w:val="99"/>
    <w:rsid w:val="0049211D"/>
    <w:pPr>
      <w:tabs>
        <w:tab w:val="center" w:pos="4536"/>
        <w:tab w:val="right" w:pos="9072"/>
      </w:tabs>
    </w:pPr>
  </w:style>
  <w:style w:type="character" w:customStyle="1" w:styleId="HlavikaChar">
    <w:name w:val="Hlavička Char"/>
    <w:basedOn w:val="Predvolenpsmoodseku"/>
    <w:link w:val="Hlavika"/>
    <w:uiPriority w:val="99"/>
    <w:rsid w:val="0049211D"/>
    <w:rPr>
      <w:rFonts w:eastAsia="Times New Roman"/>
      <w:lang w:val="en-GB"/>
    </w:rPr>
  </w:style>
  <w:style w:type="character" w:styleId="slostrany">
    <w:name w:val="page number"/>
    <w:basedOn w:val="Predvolenpsmoodseku"/>
    <w:semiHidden/>
    <w:rsid w:val="0049211D"/>
    <w:rPr>
      <w:rFonts w:ascii="Arial" w:hAnsi="Arial" w:cs="Arial"/>
      <w:color w:val="993300"/>
      <w:sz w:val="22"/>
      <w:szCs w:val="22"/>
    </w:rPr>
  </w:style>
  <w:style w:type="paragraph" w:customStyle="1" w:styleId="enttepaire">
    <w:name w:val="entête paire"/>
    <w:rsid w:val="0049211D"/>
    <w:pPr>
      <w:pBdr>
        <w:bottom w:val="single" w:sz="4" w:space="5" w:color="993300"/>
      </w:pBdr>
      <w:spacing w:after="300"/>
    </w:pPr>
    <w:rPr>
      <w:rFonts w:ascii="Arial Narrow" w:eastAsia="Times New Roman" w:hAnsi="Arial Narrow" w:cs="Arial"/>
      <w:color w:val="000000"/>
      <w:spacing w:val="20"/>
      <w:sz w:val="18"/>
      <w:szCs w:val="20"/>
      <w:lang w:val="en-GB"/>
    </w:rPr>
  </w:style>
  <w:style w:type="paragraph" w:styleId="Obsah1">
    <w:name w:val="toc 1"/>
    <w:basedOn w:val="Normlny"/>
    <w:next w:val="Normlny"/>
    <w:autoRedefine/>
    <w:semiHidden/>
    <w:rsid w:val="0049211D"/>
    <w:pPr>
      <w:tabs>
        <w:tab w:val="right" w:pos="9085"/>
      </w:tabs>
      <w:spacing w:before="300" w:after="100"/>
      <w:ind w:left="1200" w:hanging="1200"/>
    </w:pPr>
    <w:rPr>
      <w:rFonts w:ascii="Arial" w:hAnsi="Arial" w:cs="Arial"/>
      <w:b/>
      <w:bCs/>
      <w:noProof/>
      <w:color w:val="993300"/>
      <w:sz w:val="20"/>
      <w:szCs w:val="28"/>
      <w:lang w:val="fr-FR"/>
    </w:rPr>
  </w:style>
  <w:style w:type="paragraph" w:styleId="Obsah2">
    <w:name w:val="toc 2"/>
    <w:basedOn w:val="Normlny"/>
    <w:next w:val="Normlny"/>
    <w:autoRedefine/>
    <w:semiHidden/>
    <w:rsid w:val="0049211D"/>
    <w:pPr>
      <w:tabs>
        <w:tab w:val="right" w:pos="9083"/>
      </w:tabs>
      <w:spacing w:before="200" w:after="120"/>
      <w:ind w:left="1440" w:hanging="480"/>
    </w:pPr>
    <w:rPr>
      <w:rFonts w:ascii="Arial" w:hAnsi="Arial" w:cs="Arial"/>
      <w:noProof/>
      <w:kern w:val="32"/>
      <w:sz w:val="20"/>
      <w:lang w:val="fr-FR"/>
    </w:rPr>
  </w:style>
  <w:style w:type="paragraph" w:styleId="Textpoznmkypodiarou">
    <w:name w:val="footnote text"/>
    <w:basedOn w:val="Normlny"/>
    <w:link w:val="TextpoznmkypodiarouChar"/>
    <w:uiPriority w:val="99"/>
    <w:semiHidden/>
    <w:rsid w:val="0049211D"/>
    <w:pPr>
      <w:spacing w:before="60"/>
      <w:ind w:left="426" w:hanging="426"/>
      <w:jc w:val="both"/>
    </w:pPr>
    <w:rPr>
      <w:rFonts w:ascii="Arial" w:hAnsi="Arial" w:cs="Arial"/>
      <w:sz w:val="17"/>
      <w:szCs w:val="17"/>
      <w:lang w:val="en-US"/>
    </w:rPr>
  </w:style>
  <w:style w:type="character" w:customStyle="1" w:styleId="TextpoznmkypodiarouChar">
    <w:name w:val="Text poznámky pod čiarou Char"/>
    <w:basedOn w:val="Predvolenpsmoodseku"/>
    <w:link w:val="Textpoznmkypodiarou"/>
    <w:uiPriority w:val="99"/>
    <w:semiHidden/>
    <w:rsid w:val="0049211D"/>
    <w:rPr>
      <w:rFonts w:ascii="Arial" w:eastAsia="Times New Roman" w:hAnsi="Arial" w:cs="Arial"/>
      <w:sz w:val="17"/>
      <w:szCs w:val="17"/>
      <w:lang w:val="en-US"/>
    </w:rPr>
  </w:style>
  <w:style w:type="character" w:styleId="Odkaznapoznmkupodiarou">
    <w:name w:val="footnote reference"/>
    <w:basedOn w:val="Predvolenpsmoodseku"/>
    <w:semiHidden/>
    <w:rsid w:val="0049211D"/>
    <w:rPr>
      <w:vertAlign w:val="superscript"/>
    </w:rPr>
  </w:style>
  <w:style w:type="paragraph" w:customStyle="1" w:styleId="entteimpaire">
    <w:name w:val="entête_impaire"/>
    <w:basedOn w:val="enttepaire"/>
    <w:rsid w:val="0049211D"/>
    <w:pPr>
      <w:jc w:val="right"/>
    </w:pPr>
    <w:rPr>
      <w:lang w:val="en-US"/>
    </w:rPr>
  </w:style>
  <w:style w:type="paragraph" w:styleId="Obsah3">
    <w:name w:val="toc 3"/>
    <w:basedOn w:val="Normlny"/>
    <w:next w:val="Normlny"/>
    <w:autoRedefine/>
    <w:semiHidden/>
    <w:rsid w:val="0049211D"/>
    <w:pPr>
      <w:tabs>
        <w:tab w:val="right" w:leader="dot" w:pos="8776"/>
      </w:tabs>
      <w:ind w:left="400"/>
    </w:pPr>
    <w:rPr>
      <w:rFonts w:ascii="Myriad Pro Cond" w:hAnsi="Myriad Pro Cond" w:cs="Arial"/>
      <w:noProof/>
      <w:sz w:val="20"/>
    </w:rPr>
  </w:style>
  <w:style w:type="paragraph" w:styleId="Obsah4">
    <w:name w:val="toc 4"/>
    <w:basedOn w:val="Normlny"/>
    <w:next w:val="Normlny"/>
    <w:autoRedefine/>
    <w:semiHidden/>
    <w:rsid w:val="0049211D"/>
    <w:pPr>
      <w:ind w:left="720"/>
    </w:pPr>
  </w:style>
  <w:style w:type="paragraph" w:styleId="Obsah5">
    <w:name w:val="toc 5"/>
    <w:basedOn w:val="Normlny"/>
    <w:next w:val="Normlny"/>
    <w:autoRedefine/>
    <w:semiHidden/>
    <w:rsid w:val="0049211D"/>
    <w:pPr>
      <w:tabs>
        <w:tab w:val="right" w:pos="9120"/>
      </w:tabs>
      <w:spacing w:before="100" w:after="100"/>
      <w:ind w:left="958" w:right="669" w:hanging="958"/>
    </w:pPr>
    <w:rPr>
      <w:rFonts w:ascii="Arial Narrow" w:hAnsi="Arial Narrow"/>
      <w:sz w:val="20"/>
      <w:szCs w:val="20"/>
    </w:rPr>
  </w:style>
  <w:style w:type="paragraph" w:styleId="Obsah6">
    <w:name w:val="toc 6"/>
    <w:basedOn w:val="Normlny"/>
    <w:next w:val="Normlny"/>
    <w:autoRedefine/>
    <w:semiHidden/>
    <w:rsid w:val="0049211D"/>
    <w:pPr>
      <w:ind w:left="1200"/>
    </w:pPr>
  </w:style>
  <w:style w:type="paragraph" w:styleId="Obsah7">
    <w:name w:val="toc 7"/>
    <w:basedOn w:val="Normlny"/>
    <w:next w:val="Normlny"/>
    <w:autoRedefine/>
    <w:semiHidden/>
    <w:rsid w:val="0049211D"/>
    <w:pPr>
      <w:ind w:left="1440"/>
    </w:pPr>
  </w:style>
  <w:style w:type="paragraph" w:styleId="Obsah8">
    <w:name w:val="toc 8"/>
    <w:basedOn w:val="Normlny"/>
    <w:next w:val="Normlny"/>
    <w:autoRedefine/>
    <w:semiHidden/>
    <w:rsid w:val="0049211D"/>
    <w:pPr>
      <w:ind w:left="1680"/>
    </w:pPr>
  </w:style>
  <w:style w:type="paragraph" w:styleId="Obsah9">
    <w:name w:val="toc 9"/>
    <w:basedOn w:val="Normlny"/>
    <w:next w:val="Normlny"/>
    <w:autoRedefine/>
    <w:semiHidden/>
    <w:rsid w:val="0049211D"/>
    <w:pPr>
      <w:ind w:left="1920"/>
    </w:pPr>
  </w:style>
  <w:style w:type="paragraph" w:customStyle="1" w:styleId="figclose">
    <w:name w:val="fig_close"/>
    <w:rsid w:val="0049211D"/>
    <w:pPr>
      <w:ind w:left="-70" w:right="-85"/>
    </w:pPr>
    <w:rPr>
      <w:rFonts w:eastAsia="Times New Roman"/>
      <w:sz w:val="20"/>
      <w:szCs w:val="20"/>
      <w:lang w:val="en-GB"/>
    </w:rPr>
  </w:style>
  <w:style w:type="paragraph" w:customStyle="1" w:styleId="figopen">
    <w:name w:val="fig_open"/>
    <w:basedOn w:val="texte8"/>
    <w:rsid w:val="0049211D"/>
    <w:pPr>
      <w:keepNext/>
      <w:spacing w:before="200"/>
      <w:ind w:left="-142"/>
    </w:pPr>
  </w:style>
  <w:style w:type="paragraph" w:customStyle="1" w:styleId="noteexplicative">
    <w:name w:val="note explicative"/>
    <w:rsid w:val="0049211D"/>
    <w:pPr>
      <w:spacing w:before="100" w:after="60"/>
    </w:pPr>
    <w:rPr>
      <w:rFonts w:ascii="Arial" w:eastAsia="Times New Roman" w:hAnsi="Arial" w:cs="Arial"/>
      <w:b/>
      <w:bCs/>
      <w:color w:val="993300"/>
      <w:sz w:val="18"/>
      <w:szCs w:val="20"/>
      <w:u w:val="single"/>
      <w:lang w:val="fr-FR"/>
    </w:rPr>
  </w:style>
  <w:style w:type="paragraph" w:customStyle="1" w:styleId="texte83av3ap">
    <w:name w:val="texte8_3av_3ap"/>
    <w:basedOn w:val="texte83av"/>
    <w:rsid w:val="0049211D"/>
    <w:pPr>
      <w:spacing w:after="60"/>
    </w:pPr>
  </w:style>
  <w:style w:type="paragraph" w:customStyle="1" w:styleId="texte83av">
    <w:name w:val="texte8_3av"/>
    <w:basedOn w:val="texte83ap"/>
    <w:rsid w:val="0049211D"/>
    <w:pPr>
      <w:spacing w:before="60" w:after="0"/>
    </w:pPr>
  </w:style>
  <w:style w:type="paragraph" w:customStyle="1" w:styleId="texte83ap">
    <w:name w:val="texte8_3ap"/>
    <w:basedOn w:val="Normlny"/>
    <w:rsid w:val="0049211D"/>
    <w:pPr>
      <w:widowControl w:val="0"/>
      <w:spacing w:after="60"/>
      <w:jc w:val="both"/>
    </w:pPr>
    <w:rPr>
      <w:rFonts w:ascii="Arial" w:hAnsi="Arial" w:cs="Arial"/>
      <w:sz w:val="16"/>
      <w:szCs w:val="16"/>
    </w:rPr>
  </w:style>
  <w:style w:type="paragraph" w:customStyle="1" w:styleId="tableauougraphique">
    <w:name w:val="tableau ou graphique"/>
    <w:rsid w:val="0049211D"/>
    <w:pPr>
      <w:keepNext/>
      <w:spacing w:after="40" w:line="276" w:lineRule="auto"/>
      <w:jc w:val="center"/>
      <w:outlineLvl w:val="2"/>
    </w:pPr>
    <w:rPr>
      <w:rFonts w:ascii="Arial Narrow" w:eastAsia="Times New Roman" w:hAnsi="Arial Narrow" w:cs="Arial"/>
      <w:b/>
      <w:bCs/>
      <w:color w:val="993300"/>
      <w:sz w:val="20"/>
      <w:szCs w:val="20"/>
      <w:lang w:val="en-GB"/>
    </w:rPr>
  </w:style>
  <w:style w:type="paragraph" w:customStyle="1" w:styleId="Note">
    <w:name w:val="Note"/>
    <w:rsid w:val="0049211D"/>
    <w:pPr>
      <w:widowControl w:val="0"/>
      <w:spacing w:after="60"/>
      <w:jc w:val="both"/>
    </w:pPr>
    <w:rPr>
      <w:rFonts w:ascii="Helvetica" w:eastAsia="Times New Roman" w:hAnsi="Helvetica"/>
      <w:snapToGrid w:val="0"/>
      <w:sz w:val="16"/>
      <w:szCs w:val="16"/>
      <w:lang w:val="fr-FR" w:eastAsia="fr-FR"/>
    </w:rPr>
  </w:style>
  <w:style w:type="paragraph" w:customStyle="1" w:styleId="texttableau">
    <w:name w:val="text_tableau"/>
    <w:rsid w:val="0049211D"/>
    <w:pPr>
      <w:spacing w:before="40" w:after="40"/>
      <w:jc w:val="center"/>
    </w:pPr>
    <w:rPr>
      <w:rFonts w:ascii="Arial Narrow" w:eastAsia="Times New Roman" w:hAnsi="Arial Narrow"/>
      <w:snapToGrid w:val="0"/>
      <w:sz w:val="14"/>
      <w:szCs w:val="14"/>
      <w:lang w:val="en-GB" w:eastAsia="fr-FR"/>
    </w:rPr>
  </w:style>
  <w:style w:type="paragraph" w:customStyle="1" w:styleId="texteparbullet">
    <w:name w:val="texte+par+bullet"/>
    <w:basedOn w:val="textepar"/>
    <w:rsid w:val="0049211D"/>
    <w:pPr>
      <w:numPr>
        <w:numId w:val="15"/>
      </w:numPr>
      <w:spacing w:before="80"/>
    </w:pPr>
    <w:rPr>
      <w:noProof/>
      <w:lang w:eastAsia="de-DE"/>
    </w:rPr>
  </w:style>
  <w:style w:type="paragraph" w:styleId="Textkoncovejpoznmky">
    <w:name w:val="endnote text"/>
    <w:basedOn w:val="Normlny"/>
    <w:link w:val="TextkoncovejpoznmkyChar"/>
    <w:semiHidden/>
    <w:rsid w:val="0049211D"/>
    <w:rPr>
      <w:sz w:val="20"/>
      <w:szCs w:val="20"/>
    </w:rPr>
  </w:style>
  <w:style w:type="character" w:customStyle="1" w:styleId="TextkoncovejpoznmkyChar">
    <w:name w:val="Text koncovej poznámky Char"/>
    <w:basedOn w:val="Predvolenpsmoodseku"/>
    <w:link w:val="Textkoncovejpoznmky"/>
    <w:semiHidden/>
    <w:rsid w:val="0049211D"/>
    <w:rPr>
      <w:rFonts w:eastAsia="Times New Roman"/>
      <w:sz w:val="20"/>
      <w:szCs w:val="20"/>
      <w:lang w:val="en-GB"/>
    </w:rPr>
  </w:style>
  <w:style w:type="character" w:styleId="Odkaznakoncovpoznmku">
    <w:name w:val="endnote reference"/>
    <w:basedOn w:val="Predvolenpsmoodseku"/>
    <w:semiHidden/>
    <w:rsid w:val="0049211D"/>
    <w:rPr>
      <w:vertAlign w:val="superscript"/>
    </w:rPr>
  </w:style>
  <w:style w:type="paragraph" w:customStyle="1" w:styleId="Odsekzoznamu1">
    <w:name w:val="Odsek zoznamu1"/>
    <w:basedOn w:val="Normlny"/>
    <w:qFormat/>
    <w:rsid w:val="0049211D"/>
    <w:pPr>
      <w:spacing w:after="200" w:line="276" w:lineRule="auto"/>
      <w:ind w:left="720"/>
    </w:pPr>
    <w:rPr>
      <w:rFonts w:ascii="Calibri" w:hAnsi="Calibri"/>
      <w:sz w:val="22"/>
      <w:szCs w:val="22"/>
      <w:lang w:val="el-GR"/>
    </w:rPr>
  </w:style>
  <w:style w:type="paragraph" w:customStyle="1" w:styleId="Texteury">
    <w:name w:val="Text_eury"/>
    <w:rsid w:val="0049211D"/>
    <w:pPr>
      <w:spacing w:before="160" w:after="160" w:line="276" w:lineRule="auto"/>
      <w:jc w:val="both"/>
    </w:pPr>
    <w:rPr>
      <w:rFonts w:ascii="Arial" w:eastAsia="Times New Roman" w:hAnsi="Arial" w:cs="Arial"/>
      <w:sz w:val="20"/>
      <w:szCs w:val="20"/>
      <w:lang w:val="en-US"/>
    </w:rPr>
  </w:style>
  <w:style w:type="paragraph" w:styleId="Zarkazkladnhotextu2">
    <w:name w:val="Body Text Indent 2"/>
    <w:basedOn w:val="Normlny"/>
    <w:link w:val="Zarkazkladnhotextu2Char"/>
    <w:semiHidden/>
    <w:rsid w:val="0049211D"/>
    <w:pPr>
      <w:ind w:left="540"/>
    </w:pPr>
    <w:rPr>
      <w:lang w:val="fr-FR"/>
    </w:rPr>
  </w:style>
  <w:style w:type="character" w:customStyle="1" w:styleId="Zarkazkladnhotextu2Char">
    <w:name w:val="Zarážka základného textu 2 Char"/>
    <w:basedOn w:val="Predvolenpsmoodseku"/>
    <w:link w:val="Zarkazkladnhotextu2"/>
    <w:semiHidden/>
    <w:rsid w:val="0049211D"/>
    <w:rPr>
      <w:rFonts w:eastAsia="Times New Roman"/>
      <w:lang w:val="fr-FR"/>
    </w:rPr>
  </w:style>
  <w:style w:type="paragraph" w:styleId="Zarkazkladnhotextu">
    <w:name w:val="Body Text Indent"/>
    <w:basedOn w:val="Normlny"/>
    <w:link w:val="ZarkazkladnhotextuChar"/>
    <w:semiHidden/>
    <w:rsid w:val="0049211D"/>
    <w:pPr>
      <w:pBdr>
        <w:top w:val="single" w:sz="4" w:space="1" w:color="auto"/>
        <w:left w:val="single" w:sz="4" w:space="4" w:color="auto"/>
        <w:bottom w:val="single" w:sz="4" w:space="1" w:color="auto"/>
        <w:right w:val="single" w:sz="4" w:space="4" w:color="auto"/>
      </w:pBdr>
    </w:pPr>
    <w:rPr>
      <w:b/>
      <w:bCs/>
      <w:i/>
      <w:iCs/>
      <w:lang w:val="fr-FR"/>
    </w:rPr>
  </w:style>
  <w:style w:type="character" w:customStyle="1" w:styleId="ZarkazkladnhotextuChar">
    <w:name w:val="Zarážka základného textu Char"/>
    <w:basedOn w:val="Predvolenpsmoodseku"/>
    <w:link w:val="Zarkazkladnhotextu"/>
    <w:semiHidden/>
    <w:rsid w:val="0049211D"/>
    <w:rPr>
      <w:rFonts w:eastAsia="Times New Roman"/>
      <w:b/>
      <w:bCs/>
      <w:i/>
      <w:iCs/>
      <w:lang w:val="fr-FR"/>
    </w:rPr>
  </w:style>
  <w:style w:type="paragraph" w:customStyle="1" w:styleId="BasicParagraph">
    <w:name w:val="Basic Paragraph"/>
    <w:basedOn w:val="Normlny"/>
    <w:rsid w:val="0049211D"/>
    <w:pPr>
      <w:spacing w:before="120" w:after="120" w:line="360" w:lineRule="auto"/>
      <w:jc w:val="both"/>
    </w:pPr>
    <w:rPr>
      <w:rFonts w:ascii="Arial" w:hAnsi="Arial"/>
      <w:sz w:val="22"/>
      <w:lang w:eastAsia="sl-SI"/>
    </w:rPr>
  </w:style>
  <w:style w:type="character" w:styleId="Odkaznakomentr">
    <w:name w:val="annotation reference"/>
    <w:basedOn w:val="Predvolenpsmoodseku"/>
    <w:semiHidden/>
    <w:rsid w:val="0049211D"/>
    <w:rPr>
      <w:sz w:val="16"/>
    </w:rPr>
  </w:style>
  <w:style w:type="paragraph" w:styleId="Textkomentra">
    <w:name w:val="annotation text"/>
    <w:basedOn w:val="Normlny"/>
    <w:link w:val="TextkomentraChar"/>
    <w:semiHidden/>
    <w:rsid w:val="0049211D"/>
    <w:rPr>
      <w:sz w:val="20"/>
    </w:rPr>
  </w:style>
  <w:style w:type="character" w:customStyle="1" w:styleId="TextkomentraChar">
    <w:name w:val="Text komentára Char"/>
    <w:basedOn w:val="Predvolenpsmoodseku"/>
    <w:link w:val="Textkomentra"/>
    <w:semiHidden/>
    <w:rsid w:val="0049211D"/>
    <w:rPr>
      <w:rFonts w:eastAsia="Times New Roman"/>
      <w:sz w:val="20"/>
      <w:lang w:val="en-GB"/>
    </w:rPr>
  </w:style>
  <w:style w:type="paragraph" w:customStyle="1" w:styleId="CommentSubject">
    <w:name w:val="Comment Subject"/>
    <w:basedOn w:val="Textkomentra"/>
    <w:next w:val="Textkomentra"/>
    <w:semiHidden/>
    <w:rsid w:val="0049211D"/>
    <w:rPr>
      <w:b/>
      <w:bCs/>
    </w:rPr>
  </w:style>
  <w:style w:type="paragraph" w:customStyle="1" w:styleId="Textbubliny1">
    <w:name w:val="Text bubliny1"/>
    <w:basedOn w:val="Normlny"/>
    <w:semiHidden/>
    <w:rsid w:val="0049211D"/>
    <w:rPr>
      <w:rFonts w:ascii="Tahoma" w:hAnsi="Tahoma" w:cs="Tahoma"/>
      <w:sz w:val="16"/>
      <w:szCs w:val="16"/>
    </w:rPr>
  </w:style>
  <w:style w:type="character" w:customStyle="1" w:styleId="Appelnotedebasdep">
    <w:name w:val="Appel note de bas de p"/>
    <w:rsid w:val="0049211D"/>
    <w:rPr>
      <w:vertAlign w:val="superscript"/>
    </w:rPr>
  </w:style>
  <w:style w:type="paragraph" w:styleId="Oznaitext">
    <w:name w:val="Block Text"/>
    <w:basedOn w:val="Normlny"/>
    <w:semiHidden/>
    <w:rsid w:val="0049211D"/>
    <w:pPr>
      <w:spacing w:after="120"/>
      <w:ind w:left="1440" w:right="1440"/>
    </w:pPr>
  </w:style>
  <w:style w:type="paragraph" w:customStyle="1" w:styleId="comentairebrun">
    <w:name w:val="comentaire_brun"/>
    <w:rsid w:val="0049211D"/>
    <w:pPr>
      <w:jc w:val="both"/>
    </w:pPr>
    <w:rPr>
      <w:rFonts w:ascii="Myriad Pro" w:eastAsia="Times New Roman" w:hAnsi="Myriad Pro"/>
      <w:b/>
      <w:bCs/>
      <w:color w:val="993300"/>
      <w:sz w:val="21"/>
      <w:lang w:val="fr-FR"/>
    </w:rPr>
  </w:style>
  <w:style w:type="paragraph" w:customStyle="1" w:styleId="Default">
    <w:name w:val="Default"/>
    <w:rsid w:val="0049211D"/>
    <w:pPr>
      <w:autoSpaceDE w:val="0"/>
      <w:autoSpaceDN w:val="0"/>
      <w:adjustRightInd w:val="0"/>
    </w:pPr>
    <w:rPr>
      <w:rFonts w:ascii="TTB7o00" w:eastAsia="Times New Roman" w:hAnsi="TTB7o00"/>
      <w:sz w:val="20"/>
      <w:szCs w:val="20"/>
      <w:lang w:val="en-US"/>
    </w:rPr>
  </w:style>
  <w:style w:type="character" w:customStyle="1" w:styleId="DONOTTRANSLATE">
    <w:name w:val="DO_NOT_TRANSLATE"/>
    <w:rsid w:val="0049211D"/>
    <w:rPr>
      <w:rFonts w:ascii="Courier New" w:hAnsi="Courier New" w:cs="Courier New"/>
      <w:noProof/>
      <w:color w:val="800000"/>
    </w:rPr>
  </w:style>
  <w:style w:type="paragraph" w:styleId="truktradokumentu">
    <w:name w:val="Document Map"/>
    <w:basedOn w:val="Normlny"/>
    <w:link w:val="truktradokumentuChar"/>
    <w:semiHidden/>
    <w:rsid w:val="0049211D"/>
    <w:pPr>
      <w:shd w:val="clear" w:color="auto" w:fill="000080"/>
    </w:pPr>
    <w:rPr>
      <w:rFonts w:ascii="Tahoma" w:hAnsi="Tahoma" w:cs="Tahoma"/>
    </w:rPr>
  </w:style>
  <w:style w:type="character" w:customStyle="1" w:styleId="truktradokumentuChar">
    <w:name w:val="Štruktúra dokumentu Char"/>
    <w:basedOn w:val="Predvolenpsmoodseku"/>
    <w:link w:val="truktradokumentu"/>
    <w:semiHidden/>
    <w:rsid w:val="0049211D"/>
    <w:rPr>
      <w:rFonts w:ascii="Tahoma" w:eastAsia="Times New Roman" w:hAnsi="Tahoma" w:cs="Tahoma"/>
      <w:shd w:val="clear" w:color="auto" w:fill="000080"/>
      <w:lang w:val="en-GB"/>
    </w:rPr>
  </w:style>
  <w:style w:type="paragraph" w:customStyle="1" w:styleId="encart">
    <w:name w:val="encart"/>
    <w:basedOn w:val="textepar"/>
    <w:rsid w:val="0049211D"/>
    <w:pPr>
      <w:pBdr>
        <w:top w:val="single" w:sz="4" w:space="1" w:color="auto"/>
        <w:left w:val="single" w:sz="4" w:space="4" w:color="auto"/>
        <w:bottom w:val="single" w:sz="4" w:space="1" w:color="auto"/>
        <w:right w:val="single" w:sz="4" w:space="4" w:color="auto"/>
      </w:pBdr>
      <w:ind w:left="2835"/>
    </w:pPr>
    <w:rPr>
      <w:color w:val="993300"/>
    </w:rPr>
  </w:style>
  <w:style w:type="paragraph" w:customStyle="1" w:styleId="Adresanaoblke1">
    <w:name w:val="Adresa na obálke1"/>
    <w:basedOn w:val="Normlny"/>
    <w:rsid w:val="0049211D"/>
    <w:rPr>
      <w:rFonts w:ascii="Times" w:hAnsi="Times"/>
      <w:b/>
      <w:sz w:val="28"/>
      <w:szCs w:val="20"/>
      <w:lang w:val="en-US"/>
    </w:rPr>
  </w:style>
  <w:style w:type="paragraph" w:customStyle="1" w:styleId="exemple">
    <w:name w:val="exemple"/>
    <w:rsid w:val="0049211D"/>
    <w:pPr>
      <w:spacing w:before="120" w:line="300" w:lineRule="auto"/>
      <w:ind w:left="369"/>
      <w:jc w:val="both"/>
    </w:pPr>
    <w:rPr>
      <w:rFonts w:ascii="Arial Narrow" w:eastAsia="Times New Roman" w:hAnsi="Arial Narrow"/>
      <w:sz w:val="18"/>
      <w:lang w:val="en-GB"/>
    </w:rPr>
  </w:style>
  <w:style w:type="paragraph" w:customStyle="1" w:styleId="exemplepourtexte">
    <w:name w:val="exemple pour texte"/>
    <w:basedOn w:val="Zkladntext"/>
    <w:rsid w:val="0049211D"/>
    <w:pPr>
      <w:ind w:left="567"/>
    </w:pPr>
    <w:rPr>
      <w:bCs w:val="0"/>
      <w:i/>
      <w:iCs/>
    </w:rPr>
  </w:style>
  <w:style w:type="paragraph" w:customStyle="1" w:styleId="exemplespourtexte">
    <w:name w:val="exemples pour texte"/>
    <w:basedOn w:val="Zkladntext"/>
    <w:rsid w:val="0049211D"/>
    <w:pPr>
      <w:ind w:left="567"/>
    </w:pPr>
    <w:rPr>
      <w:bCs w:val="0"/>
      <w:i/>
      <w:iCs/>
    </w:rPr>
  </w:style>
  <w:style w:type="paragraph" w:customStyle="1" w:styleId="figmid">
    <w:name w:val="fig_mid"/>
    <w:rsid w:val="0049211D"/>
    <w:pPr>
      <w:spacing w:before="60" w:after="60"/>
    </w:pPr>
    <w:rPr>
      <w:rFonts w:eastAsia="Times New Roman"/>
      <w:sz w:val="20"/>
      <w:szCs w:val="20"/>
      <w:lang w:val="fr-FR"/>
    </w:rPr>
  </w:style>
  <w:style w:type="character" w:styleId="PouitHypertextovPrepojenie">
    <w:name w:val="FollowedHyperlink"/>
    <w:basedOn w:val="Predvolenpsmoodseku"/>
    <w:semiHidden/>
    <w:rsid w:val="0049211D"/>
    <w:rPr>
      <w:color w:val="800080"/>
      <w:u w:val="single"/>
    </w:rPr>
  </w:style>
  <w:style w:type="paragraph" w:styleId="Zoznamsodrkami">
    <w:name w:val="List Bullet"/>
    <w:basedOn w:val="Normlny"/>
    <w:autoRedefine/>
    <w:semiHidden/>
    <w:rsid w:val="0049211D"/>
    <w:pPr>
      <w:tabs>
        <w:tab w:val="num" w:pos="360"/>
      </w:tabs>
      <w:ind w:left="360" w:hanging="360"/>
    </w:pPr>
    <w:rPr>
      <w:rFonts w:ascii="Arial" w:hAnsi="Arial"/>
    </w:rPr>
  </w:style>
  <w:style w:type="paragraph" w:styleId="Zoznamsodrkami2">
    <w:name w:val="List Bullet 2"/>
    <w:basedOn w:val="Normlny"/>
    <w:autoRedefine/>
    <w:semiHidden/>
    <w:rsid w:val="0049211D"/>
    <w:pPr>
      <w:tabs>
        <w:tab w:val="num" w:pos="643"/>
      </w:tabs>
      <w:ind w:left="643" w:hanging="360"/>
    </w:pPr>
  </w:style>
  <w:style w:type="paragraph" w:styleId="Zoznamsodrkami3">
    <w:name w:val="List Bullet 3"/>
    <w:basedOn w:val="Normlny"/>
    <w:autoRedefine/>
    <w:semiHidden/>
    <w:rsid w:val="0049211D"/>
    <w:pPr>
      <w:tabs>
        <w:tab w:val="num" w:pos="926"/>
      </w:tabs>
      <w:ind w:left="926" w:hanging="360"/>
    </w:pPr>
  </w:style>
  <w:style w:type="paragraph" w:styleId="Zoznamsodrkami4">
    <w:name w:val="List Bullet 4"/>
    <w:basedOn w:val="Normlny"/>
    <w:autoRedefine/>
    <w:semiHidden/>
    <w:rsid w:val="0049211D"/>
    <w:pPr>
      <w:tabs>
        <w:tab w:val="num" w:pos="1209"/>
      </w:tabs>
      <w:ind w:left="1209" w:hanging="360"/>
    </w:pPr>
  </w:style>
  <w:style w:type="paragraph" w:styleId="Zoznamsodrkami5">
    <w:name w:val="List Bullet 5"/>
    <w:basedOn w:val="Normlny"/>
    <w:autoRedefine/>
    <w:semiHidden/>
    <w:rsid w:val="0049211D"/>
    <w:pPr>
      <w:tabs>
        <w:tab w:val="num" w:pos="1492"/>
      </w:tabs>
      <w:ind w:left="1492" w:hanging="360"/>
    </w:pPr>
  </w:style>
  <w:style w:type="paragraph" w:styleId="slovanzoznam">
    <w:name w:val="List Number"/>
    <w:basedOn w:val="Normlny"/>
    <w:semiHidden/>
    <w:rsid w:val="0049211D"/>
    <w:pPr>
      <w:tabs>
        <w:tab w:val="num" w:pos="360"/>
      </w:tabs>
      <w:ind w:left="360" w:hanging="360"/>
    </w:pPr>
  </w:style>
  <w:style w:type="paragraph" w:styleId="slovanzoznam2">
    <w:name w:val="List Number 2"/>
    <w:basedOn w:val="Normlny"/>
    <w:semiHidden/>
    <w:rsid w:val="0049211D"/>
    <w:pPr>
      <w:tabs>
        <w:tab w:val="num" w:pos="643"/>
      </w:tabs>
      <w:ind w:left="643" w:hanging="360"/>
    </w:pPr>
  </w:style>
  <w:style w:type="paragraph" w:styleId="slovanzoznam3">
    <w:name w:val="List Number 3"/>
    <w:basedOn w:val="Normlny"/>
    <w:semiHidden/>
    <w:rsid w:val="0049211D"/>
    <w:pPr>
      <w:tabs>
        <w:tab w:val="num" w:pos="926"/>
      </w:tabs>
      <w:ind w:left="926" w:hanging="360"/>
    </w:pPr>
  </w:style>
  <w:style w:type="paragraph" w:styleId="slovanzoznam4">
    <w:name w:val="List Number 4"/>
    <w:basedOn w:val="Normlny"/>
    <w:semiHidden/>
    <w:rsid w:val="0049211D"/>
    <w:pPr>
      <w:tabs>
        <w:tab w:val="num" w:pos="1209"/>
      </w:tabs>
      <w:ind w:left="1209" w:hanging="360"/>
    </w:pPr>
  </w:style>
  <w:style w:type="paragraph" w:styleId="slovanzoznam5">
    <w:name w:val="List Number 5"/>
    <w:basedOn w:val="Normlny"/>
    <w:semiHidden/>
    <w:rsid w:val="0049211D"/>
    <w:pPr>
      <w:tabs>
        <w:tab w:val="num" w:pos="1492"/>
      </w:tabs>
      <w:ind w:left="1492" w:hanging="360"/>
    </w:pPr>
  </w:style>
  <w:style w:type="paragraph" w:customStyle="1" w:styleId="Objetducommentaire">
    <w:name w:val="Objet du commentaire"/>
    <w:basedOn w:val="Textkomentra"/>
    <w:next w:val="Textkomentra"/>
    <w:semiHidden/>
    <w:rsid w:val="0049211D"/>
    <w:rPr>
      <w:b/>
      <w:bCs/>
      <w:szCs w:val="20"/>
    </w:rPr>
  </w:style>
  <w:style w:type="paragraph" w:customStyle="1" w:styleId="pays">
    <w:name w:val="pays"/>
    <w:rsid w:val="0049211D"/>
    <w:pPr>
      <w:spacing w:before="200" w:after="100"/>
    </w:pPr>
    <w:rPr>
      <w:rFonts w:ascii="Myriad Pro" w:eastAsia="Times New Roman" w:hAnsi="Myriad Pro"/>
      <w:b/>
      <w:color w:val="993300"/>
      <w:sz w:val="21"/>
      <w:szCs w:val="20"/>
      <w:lang w:val="en-GB"/>
    </w:rPr>
  </w:style>
  <w:style w:type="paragraph" w:styleId="Obyajntext">
    <w:name w:val="Plain Text"/>
    <w:basedOn w:val="Normlny"/>
    <w:link w:val="ObyajntextChar"/>
    <w:semiHidden/>
    <w:rsid w:val="0049211D"/>
    <w:rPr>
      <w:rFonts w:ascii="Courier New" w:hAnsi="Courier New" w:cs="Courier New"/>
      <w:sz w:val="20"/>
      <w:szCs w:val="20"/>
      <w:lang w:val="fr-FR"/>
    </w:rPr>
  </w:style>
  <w:style w:type="character" w:customStyle="1" w:styleId="ObyajntextChar">
    <w:name w:val="Obyčajný text Char"/>
    <w:basedOn w:val="Predvolenpsmoodseku"/>
    <w:link w:val="Obyajntext"/>
    <w:semiHidden/>
    <w:rsid w:val="0049211D"/>
    <w:rPr>
      <w:rFonts w:ascii="Courier New" w:eastAsia="Times New Roman" w:hAnsi="Courier New" w:cs="Courier New"/>
      <w:sz w:val="20"/>
      <w:szCs w:val="20"/>
      <w:lang w:val="fr-FR"/>
    </w:rPr>
  </w:style>
  <w:style w:type="paragraph" w:customStyle="1" w:styleId="questionnaire">
    <w:name w:val="questionnaire"/>
    <w:rsid w:val="0049211D"/>
    <w:pPr>
      <w:spacing w:line="360" w:lineRule="auto"/>
      <w:jc w:val="both"/>
    </w:pPr>
    <w:rPr>
      <w:rFonts w:ascii="Myriad Pro" w:eastAsia="Times New Roman" w:hAnsi="Myriad Pro"/>
      <w:sz w:val="22"/>
      <w:szCs w:val="20"/>
      <w:lang w:val="en-US"/>
    </w:rPr>
  </w:style>
  <w:style w:type="paragraph" w:customStyle="1" w:styleId="Rappel">
    <w:name w:val="Rappel"/>
    <w:rsid w:val="0049211D"/>
    <w:pPr>
      <w:pBdr>
        <w:bottom w:val="single" w:sz="6" w:space="3" w:color="auto"/>
      </w:pBdr>
      <w:spacing w:before="120" w:after="100"/>
      <w:jc w:val="center"/>
    </w:pPr>
    <w:rPr>
      <w:rFonts w:ascii="Futura Md BT" w:eastAsia="Times New Roman" w:hAnsi="Futura Md BT"/>
      <w:spacing w:val="140"/>
      <w:kern w:val="20"/>
      <w:sz w:val="16"/>
      <w:szCs w:val="20"/>
      <w:lang w:val="fr-FR"/>
    </w:rPr>
  </w:style>
  <w:style w:type="paragraph" w:customStyle="1" w:styleId="texte">
    <w:name w:val="texte"/>
    <w:rsid w:val="0049211D"/>
    <w:pPr>
      <w:suppressAutoHyphens/>
      <w:spacing w:before="60" w:after="120" w:line="300" w:lineRule="auto"/>
      <w:ind w:left="1259" w:hanging="1259"/>
    </w:pPr>
    <w:rPr>
      <w:rFonts w:ascii="Arial" w:eastAsia="Times New Roman" w:hAnsi="Arial" w:cs="Arial"/>
      <w:snapToGrid w:val="0"/>
      <w:spacing w:val="5"/>
      <w:sz w:val="18"/>
      <w:szCs w:val="18"/>
      <w:lang w:val="fr-FR" w:eastAsia="fr-FR"/>
    </w:rPr>
  </w:style>
  <w:style w:type="paragraph" w:customStyle="1" w:styleId="textetab">
    <w:name w:val="texte_tab"/>
    <w:rsid w:val="0049211D"/>
    <w:pPr>
      <w:spacing w:before="40"/>
    </w:pPr>
    <w:rPr>
      <w:rFonts w:ascii="Arial" w:eastAsia="Times New Roman" w:hAnsi="Arial"/>
      <w:noProof/>
      <w:sz w:val="12"/>
      <w:szCs w:val="20"/>
      <w:lang w:val="en-US"/>
    </w:rPr>
  </w:style>
  <w:style w:type="paragraph" w:customStyle="1" w:styleId="bodytext2">
    <w:name w:val="body text 2"/>
    <w:basedOn w:val="Normlny"/>
    <w:rsid w:val="0049211D"/>
    <w:pPr>
      <w:jc w:val="both"/>
    </w:pPr>
    <w:rPr>
      <w:rFonts w:ascii="New York" w:hAnsi="New York"/>
      <w:color w:val="FF0000"/>
    </w:rPr>
  </w:style>
  <w:style w:type="paragraph" w:styleId="Zkladntext3">
    <w:name w:val="Body Text 3"/>
    <w:basedOn w:val="Normlny"/>
    <w:link w:val="Zkladntext3Char"/>
    <w:semiHidden/>
    <w:rsid w:val="0049211D"/>
    <w:pPr>
      <w:spacing w:after="120"/>
      <w:jc w:val="both"/>
    </w:pPr>
    <w:rPr>
      <w:rFonts w:ascii="Arial" w:hAnsi="Arial"/>
      <w:sz w:val="22"/>
      <w:lang w:val="fr-FR"/>
    </w:rPr>
  </w:style>
  <w:style w:type="character" w:customStyle="1" w:styleId="Zkladntext3Char">
    <w:name w:val="Základný text 3 Char"/>
    <w:basedOn w:val="Predvolenpsmoodseku"/>
    <w:link w:val="Zkladntext3"/>
    <w:semiHidden/>
    <w:rsid w:val="0049211D"/>
    <w:rPr>
      <w:rFonts w:ascii="Arial" w:eastAsia="Times New Roman" w:hAnsi="Arial"/>
      <w:sz w:val="22"/>
      <w:lang w:val="fr-FR"/>
    </w:rPr>
  </w:style>
  <w:style w:type="paragraph" w:styleId="Zarkazkladnhotextu3">
    <w:name w:val="Body Text Indent 3"/>
    <w:basedOn w:val="Normlny"/>
    <w:link w:val="Zarkazkladnhotextu3Char"/>
    <w:semiHidden/>
    <w:rsid w:val="0049211D"/>
    <w:pPr>
      <w:ind w:left="2880"/>
    </w:pPr>
    <w:rPr>
      <w:rFonts w:ascii="Palatino Linotype" w:hAnsi="Palatino Linotype"/>
      <w:b/>
      <w:bCs/>
      <w:sz w:val="20"/>
      <w:lang w:val="fr-BE"/>
    </w:rPr>
  </w:style>
  <w:style w:type="character" w:customStyle="1" w:styleId="Zarkazkladnhotextu3Char">
    <w:name w:val="Zarážka základného textu 3 Char"/>
    <w:basedOn w:val="Predvolenpsmoodseku"/>
    <w:link w:val="Zarkazkladnhotextu3"/>
    <w:semiHidden/>
    <w:rsid w:val="0049211D"/>
    <w:rPr>
      <w:rFonts w:ascii="Palatino Linotype" w:eastAsia="Times New Roman" w:hAnsi="Palatino Linotype"/>
      <w:b/>
      <w:bCs/>
      <w:sz w:val="20"/>
      <w:lang w:val="fr-BE"/>
    </w:rPr>
  </w:style>
  <w:style w:type="paragraph" w:customStyle="1" w:styleId="boule">
    <w:name w:val="boule"/>
    <w:basedOn w:val="textepar"/>
    <w:rsid w:val="0049211D"/>
    <w:pPr>
      <w:tabs>
        <w:tab w:val="num" w:pos="426"/>
      </w:tabs>
      <w:spacing w:before="100" w:line="360" w:lineRule="auto"/>
      <w:ind w:left="426" w:hanging="426"/>
    </w:pPr>
  </w:style>
  <w:style w:type="paragraph" w:customStyle="1" w:styleId="contenutableauy">
    <w:name w:val="contenu tableauy"/>
    <w:basedOn w:val="Normlny"/>
    <w:rsid w:val="0049211D"/>
    <w:pPr>
      <w:jc w:val="right"/>
    </w:pPr>
    <w:rPr>
      <w:rFonts w:ascii="Helvetica" w:hAnsi="Helvetica"/>
      <w:sz w:val="20"/>
      <w:szCs w:val="20"/>
      <w:lang w:val="fr-BE"/>
    </w:rPr>
  </w:style>
  <w:style w:type="paragraph" w:customStyle="1" w:styleId="definitions">
    <w:name w:val="definitions"/>
    <w:basedOn w:val="textepar"/>
    <w:rsid w:val="0049211D"/>
    <w:pPr>
      <w:spacing w:before="0"/>
      <w:ind w:left="98" w:right="74"/>
    </w:pPr>
    <w:rPr>
      <w:rFonts w:ascii="Myriad Pro SemiExt" w:hAnsi="Myriad Pro SemiExt"/>
      <w:sz w:val="16"/>
      <w:lang w:val="fr-BE"/>
    </w:rPr>
  </w:style>
  <w:style w:type="paragraph" w:customStyle="1" w:styleId="dfinitions">
    <w:name w:val="définitions"/>
    <w:basedOn w:val="textepar"/>
    <w:rsid w:val="0049211D"/>
    <w:pPr>
      <w:spacing w:before="0"/>
      <w:ind w:left="98" w:right="74"/>
    </w:pPr>
    <w:rPr>
      <w:rFonts w:ascii="Myriad Pro SemiExt" w:hAnsi="Myriad Pro SemiExt"/>
      <w:sz w:val="16"/>
      <w:szCs w:val="16"/>
      <w:lang w:val="fr-BE"/>
    </w:rPr>
  </w:style>
  <w:style w:type="character" w:styleId="Zvraznenie">
    <w:name w:val="Emphasis"/>
    <w:basedOn w:val="Predvolenpsmoodseku"/>
    <w:qFormat/>
    <w:rsid w:val="0049211D"/>
    <w:rPr>
      <w:i/>
      <w:iCs/>
    </w:rPr>
  </w:style>
  <w:style w:type="paragraph" w:styleId="PredformtovanHTML">
    <w:name w:val="HTML Preformatted"/>
    <w:basedOn w:val="Normlny"/>
    <w:link w:val="PredformtovanHTMLChar"/>
    <w:semiHidden/>
    <w:rsid w:val="00492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edformtovanHTMLChar">
    <w:name w:val="Predformátované HTML Char"/>
    <w:basedOn w:val="Predvolenpsmoodseku"/>
    <w:link w:val="PredformtovanHTML"/>
    <w:semiHidden/>
    <w:rsid w:val="0049211D"/>
    <w:rPr>
      <w:rFonts w:ascii="Arial Unicode MS" w:eastAsia="Arial Unicode MS" w:hAnsi="Arial Unicode MS" w:cs="Arial Unicode MS"/>
      <w:sz w:val="20"/>
      <w:szCs w:val="20"/>
      <w:lang w:val="en-GB"/>
    </w:rPr>
  </w:style>
  <w:style w:type="paragraph" w:customStyle="1" w:styleId="immigrants">
    <w:name w:val="immigrants"/>
    <w:basedOn w:val="Normlny"/>
    <w:rsid w:val="0049211D"/>
    <w:pPr>
      <w:jc w:val="both"/>
    </w:pPr>
    <w:rPr>
      <w:rFonts w:ascii="Palatino Linotype" w:hAnsi="Palatino Linotype"/>
      <w:sz w:val="20"/>
    </w:rPr>
  </w:style>
  <w:style w:type="paragraph" w:customStyle="1" w:styleId="Immigrants0">
    <w:name w:val="Immigrants"/>
    <w:rsid w:val="0049211D"/>
    <w:pPr>
      <w:jc w:val="both"/>
    </w:pPr>
    <w:rPr>
      <w:rFonts w:ascii="Palatino Linotype" w:eastAsia="Times New Roman" w:hAnsi="Palatino Linotype"/>
      <w:sz w:val="20"/>
      <w:szCs w:val="20"/>
      <w:lang w:val="en-GB"/>
    </w:rPr>
  </w:style>
  <w:style w:type="paragraph" w:customStyle="1" w:styleId="indent02">
    <w:name w:val="indent_02"/>
    <w:basedOn w:val="Normlny"/>
    <w:rsid w:val="0049211D"/>
  </w:style>
  <w:style w:type="character" w:customStyle="1" w:styleId="medium-normal1">
    <w:name w:val="medium-normal1"/>
    <w:basedOn w:val="Predvolenpsmoodseku"/>
    <w:rsid w:val="0049211D"/>
    <w:rPr>
      <w:rFonts w:ascii="Arial" w:hAnsi="Arial" w:cs="Arial" w:hint="default"/>
      <w:b w:val="0"/>
      <w:bCs w:val="0"/>
      <w:i w:val="0"/>
      <w:iCs w:val="0"/>
      <w:sz w:val="20"/>
      <w:szCs w:val="20"/>
    </w:rPr>
  </w:style>
  <w:style w:type="character" w:customStyle="1" w:styleId="news1">
    <w:name w:val="news1"/>
    <w:basedOn w:val="Predvolenpsmoodseku"/>
    <w:rsid w:val="0049211D"/>
    <w:rPr>
      <w:rFonts w:ascii="Arial" w:hAnsi="Arial" w:cs="Arial"/>
      <w:color w:val="000000"/>
      <w:sz w:val="20"/>
      <w:szCs w:val="20"/>
    </w:rPr>
  </w:style>
  <w:style w:type="paragraph" w:customStyle="1" w:styleId="Normaali2">
    <w:name w:val="Normaali2"/>
    <w:rsid w:val="0049211D"/>
    <w:pPr>
      <w:widowControl w:val="0"/>
      <w:overflowPunct w:val="0"/>
      <w:autoSpaceDE w:val="0"/>
      <w:autoSpaceDN w:val="0"/>
      <w:adjustRightInd w:val="0"/>
      <w:textAlignment w:val="baseline"/>
    </w:pPr>
    <w:rPr>
      <w:rFonts w:eastAsia="Times New Roman"/>
      <w:snapToGrid w:val="0"/>
      <w:lang w:val="en-GB" w:eastAsia="fr-FR"/>
    </w:rPr>
  </w:style>
  <w:style w:type="paragraph" w:styleId="Normlnywebov">
    <w:name w:val="Normal (Web)"/>
    <w:basedOn w:val="Normlny"/>
    <w:semiHidden/>
    <w:rsid w:val="0049211D"/>
    <w:pPr>
      <w:spacing w:before="100" w:beforeAutospacing="1" w:after="100" w:afterAutospacing="1"/>
    </w:pPr>
    <w:rPr>
      <w:rFonts w:ascii="Arial Unicode MS" w:eastAsia="Arial Unicode MS" w:hAnsi="Arial Unicode MS" w:cs="Arial Unicode MS"/>
    </w:rPr>
  </w:style>
  <w:style w:type="character" w:customStyle="1" w:styleId="Normal1">
    <w:name w:val="Normal1"/>
    <w:rsid w:val="0049211D"/>
    <w:rPr>
      <w:rFonts w:ascii="Helvetica" w:hAnsi="Helvetica" w:cs="Helvetica"/>
      <w:sz w:val="24"/>
      <w:szCs w:val="24"/>
    </w:rPr>
  </w:style>
  <w:style w:type="paragraph" w:customStyle="1" w:styleId="normal5">
    <w:name w:val="normal5"/>
    <w:basedOn w:val="Normlny"/>
    <w:rsid w:val="0049211D"/>
    <w:pPr>
      <w:widowControl w:val="0"/>
      <w:spacing w:before="90" w:after="90"/>
      <w:jc w:val="both"/>
    </w:pPr>
    <w:rPr>
      <w:rFonts w:ascii="Arial" w:hAnsi="Arial" w:cs="Arial"/>
      <w:sz w:val="10"/>
      <w:szCs w:val="10"/>
    </w:rPr>
  </w:style>
  <w:style w:type="paragraph" w:customStyle="1" w:styleId="notescomplementaires">
    <w:name w:val="notes complementaires"/>
    <w:rsid w:val="0049211D"/>
    <w:pPr>
      <w:pBdr>
        <w:bottom w:val="single" w:sz="4" w:space="4" w:color="auto"/>
      </w:pBdr>
      <w:spacing w:after="130"/>
      <w:ind w:right="6469"/>
    </w:pPr>
    <w:rPr>
      <w:rFonts w:ascii="Myriad Pro Light" w:eastAsia="Times New Roman" w:hAnsi="Myriad Pro Light"/>
      <w:snapToGrid w:val="0"/>
      <w:sz w:val="21"/>
      <w:szCs w:val="21"/>
      <w:lang w:val="fr-FR" w:eastAsia="fr-FR"/>
    </w:rPr>
  </w:style>
  <w:style w:type="paragraph" w:customStyle="1" w:styleId="notecomplementaire">
    <w:name w:val="note complementaire"/>
    <w:basedOn w:val="notescomplementaires"/>
    <w:rsid w:val="0049211D"/>
    <w:pPr>
      <w:ind w:right="7208"/>
    </w:pPr>
  </w:style>
  <w:style w:type="paragraph" w:customStyle="1" w:styleId="Notes">
    <w:name w:val="Notes"/>
    <w:basedOn w:val="Normlny"/>
    <w:rsid w:val="0049211D"/>
    <w:pPr>
      <w:jc w:val="both"/>
    </w:pPr>
    <w:rPr>
      <w:rFonts w:ascii="Arial" w:hAnsi="Arial"/>
      <w:sz w:val="16"/>
      <w:lang w:val="fr-FR"/>
    </w:rPr>
  </w:style>
  <w:style w:type="paragraph" w:customStyle="1" w:styleId="NumPar1">
    <w:name w:val="NumPar 1"/>
    <w:basedOn w:val="Normlny"/>
    <w:next w:val="Normlny"/>
    <w:rsid w:val="0049211D"/>
    <w:pPr>
      <w:numPr>
        <w:numId w:val="30"/>
      </w:numPr>
      <w:spacing w:before="120" w:after="120"/>
      <w:jc w:val="both"/>
    </w:pPr>
    <w:rPr>
      <w:szCs w:val="20"/>
    </w:rPr>
  </w:style>
  <w:style w:type="paragraph" w:customStyle="1" w:styleId="NumPar2">
    <w:name w:val="NumPar 2"/>
    <w:basedOn w:val="Normlny"/>
    <w:next w:val="Normlny"/>
    <w:rsid w:val="0049211D"/>
    <w:pPr>
      <w:numPr>
        <w:ilvl w:val="1"/>
        <w:numId w:val="30"/>
      </w:numPr>
      <w:spacing w:before="120" w:after="120"/>
      <w:jc w:val="both"/>
    </w:pPr>
    <w:rPr>
      <w:szCs w:val="20"/>
    </w:rPr>
  </w:style>
  <w:style w:type="paragraph" w:customStyle="1" w:styleId="NumPar3">
    <w:name w:val="NumPar 3"/>
    <w:basedOn w:val="Normlny"/>
    <w:next w:val="Normlny"/>
    <w:rsid w:val="0049211D"/>
    <w:pPr>
      <w:numPr>
        <w:ilvl w:val="2"/>
        <w:numId w:val="30"/>
      </w:numPr>
      <w:spacing w:before="120" w:after="120"/>
      <w:jc w:val="both"/>
    </w:pPr>
    <w:rPr>
      <w:szCs w:val="20"/>
    </w:rPr>
  </w:style>
  <w:style w:type="paragraph" w:customStyle="1" w:styleId="NumPar4">
    <w:name w:val="NumPar 4"/>
    <w:basedOn w:val="Normlny"/>
    <w:next w:val="Normlny"/>
    <w:rsid w:val="0049211D"/>
    <w:pPr>
      <w:numPr>
        <w:ilvl w:val="3"/>
        <w:numId w:val="30"/>
      </w:numPr>
      <w:spacing w:before="120" w:after="120"/>
      <w:jc w:val="both"/>
    </w:pPr>
    <w:rPr>
      <w:szCs w:val="20"/>
    </w:rPr>
  </w:style>
  <w:style w:type="paragraph" w:customStyle="1" w:styleId="ptitnote">
    <w:name w:val="ptitnote"/>
    <w:rsid w:val="0049211D"/>
    <w:pPr>
      <w:widowControl w:val="0"/>
      <w:jc w:val="both"/>
    </w:pPr>
    <w:rPr>
      <w:rFonts w:ascii="Helvetica" w:eastAsia="Times New Roman" w:hAnsi="Helvetica"/>
      <w:snapToGrid w:val="0"/>
      <w:sz w:val="16"/>
      <w:szCs w:val="16"/>
      <w:lang w:val="fr-FR" w:eastAsia="fr-FR"/>
    </w:rPr>
  </w:style>
  <w:style w:type="paragraph" w:customStyle="1" w:styleId="Seliteteksti">
    <w:name w:val="Seliteteksti"/>
    <w:basedOn w:val="Normlny"/>
    <w:rsid w:val="0049211D"/>
    <w:rPr>
      <w:rFonts w:ascii="Tahoma" w:hAnsi="Tahoma" w:cs="Tahoma"/>
      <w:sz w:val="16"/>
      <w:szCs w:val="16"/>
    </w:rPr>
  </w:style>
  <w:style w:type="paragraph" w:customStyle="1" w:styleId="sous">
    <w:name w:val="sous"/>
    <w:basedOn w:val="texteparbullet"/>
    <w:rsid w:val="0049211D"/>
    <w:pPr>
      <w:numPr>
        <w:numId w:val="0"/>
      </w:numPr>
      <w:tabs>
        <w:tab w:val="num" w:pos="1080"/>
      </w:tabs>
    </w:pPr>
  </w:style>
  <w:style w:type="paragraph" w:customStyle="1" w:styleId="sousboule">
    <w:name w:val="sousboule"/>
    <w:basedOn w:val="boule"/>
    <w:rsid w:val="0049211D"/>
    <w:pPr>
      <w:numPr>
        <w:numId w:val="31"/>
      </w:numPr>
    </w:pPr>
  </w:style>
  <w:style w:type="character" w:styleId="Siln">
    <w:name w:val="Strong"/>
    <w:basedOn w:val="Predvolenpsmoodseku"/>
    <w:qFormat/>
    <w:rsid w:val="0049211D"/>
    <w:rPr>
      <w:b/>
      <w:bCs/>
    </w:rPr>
  </w:style>
  <w:style w:type="paragraph" w:customStyle="1" w:styleId="Style2">
    <w:name w:val="Style2"/>
    <w:basedOn w:val="Normlny"/>
    <w:rsid w:val="0049211D"/>
    <w:pPr>
      <w:numPr>
        <w:numId w:val="32"/>
      </w:numPr>
    </w:pPr>
  </w:style>
  <w:style w:type="paragraph" w:styleId="Podtitul">
    <w:name w:val="Subtitle"/>
    <w:basedOn w:val="Normlny"/>
    <w:link w:val="PodtitulChar"/>
    <w:qFormat/>
    <w:rsid w:val="0049211D"/>
    <w:pPr>
      <w:spacing w:after="60"/>
      <w:jc w:val="center"/>
      <w:outlineLvl w:val="1"/>
    </w:pPr>
    <w:rPr>
      <w:rFonts w:ascii="Arial" w:hAnsi="Arial" w:cs="Arial"/>
    </w:rPr>
  </w:style>
  <w:style w:type="character" w:customStyle="1" w:styleId="PodtitulChar">
    <w:name w:val="Podtitul Char"/>
    <w:basedOn w:val="Predvolenpsmoodseku"/>
    <w:link w:val="Podtitul"/>
    <w:rsid w:val="0049211D"/>
    <w:rPr>
      <w:rFonts w:ascii="Arial" w:eastAsia="Times New Roman" w:hAnsi="Arial" w:cs="Arial"/>
      <w:lang w:val="en-GB"/>
    </w:rPr>
  </w:style>
  <w:style w:type="paragraph" w:customStyle="1" w:styleId="textparboule2">
    <w:name w:val="text_par_boule_2"/>
    <w:basedOn w:val="texteparbullet"/>
    <w:rsid w:val="0049211D"/>
    <w:pPr>
      <w:numPr>
        <w:numId w:val="33"/>
      </w:numPr>
    </w:pPr>
  </w:style>
  <w:style w:type="paragraph" w:customStyle="1" w:styleId="Textedebulles">
    <w:name w:val="Texte de bulles"/>
    <w:basedOn w:val="Normlny"/>
    <w:semiHidden/>
    <w:rsid w:val="0049211D"/>
    <w:rPr>
      <w:rFonts w:ascii="Tahoma" w:hAnsi="Tahoma" w:cs="Tahoma"/>
      <w:sz w:val="16"/>
      <w:szCs w:val="16"/>
    </w:rPr>
  </w:style>
  <w:style w:type="character" w:customStyle="1" w:styleId="texte8italic">
    <w:name w:val="texte8_italic"/>
    <w:basedOn w:val="Predvolenpsmoodseku"/>
    <w:rsid w:val="0049211D"/>
    <w:rPr>
      <w:i/>
      <w:iCs/>
    </w:rPr>
  </w:style>
  <w:style w:type="paragraph" w:styleId="Nzov">
    <w:name w:val="Title"/>
    <w:basedOn w:val="Normlny"/>
    <w:link w:val="NzovChar"/>
    <w:qFormat/>
    <w:rsid w:val="0049211D"/>
    <w:pPr>
      <w:widowControl w:val="0"/>
      <w:spacing w:before="90" w:after="120"/>
      <w:jc w:val="center"/>
    </w:pPr>
    <w:rPr>
      <w:rFonts w:ascii="Arial" w:hAnsi="Arial" w:cs="Arial"/>
      <w:b/>
      <w:bCs/>
      <w:sz w:val="28"/>
      <w:szCs w:val="28"/>
    </w:rPr>
  </w:style>
  <w:style w:type="character" w:customStyle="1" w:styleId="NzovChar">
    <w:name w:val="Názov Char"/>
    <w:basedOn w:val="Predvolenpsmoodseku"/>
    <w:link w:val="Nzov"/>
    <w:rsid w:val="0049211D"/>
    <w:rPr>
      <w:rFonts w:ascii="Arial" w:eastAsia="Times New Roman" w:hAnsi="Arial" w:cs="Arial"/>
      <w:b/>
      <w:bCs/>
      <w:sz w:val="28"/>
      <w:szCs w:val="28"/>
      <w:lang w:val="en-GB"/>
    </w:rPr>
  </w:style>
  <w:style w:type="paragraph" w:customStyle="1" w:styleId="Bold">
    <w:name w:val="Bold"/>
    <w:basedOn w:val="Normlny"/>
    <w:rsid w:val="0049211D"/>
    <w:pPr>
      <w:numPr>
        <w:numId w:val="34"/>
      </w:numPr>
    </w:pPr>
    <w:rPr>
      <w:lang w:val="en-IE"/>
    </w:rPr>
  </w:style>
  <w:style w:type="character" w:styleId="PsacstrojHTML">
    <w:name w:val="HTML Typewriter"/>
    <w:basedOn w:val="Predvolenpsmoodseku"/>
    <w:semiHidden/>
    <w:rsid w:val="0049211D"/>
    <w:rPr>
      <w:rFonts w:ascii="Arial Unicode MS" w:eastAsia="Arial Unicode MS" w:hAnsi="Arial Unicode MS" w:cs="Arial Unicode MS"/>
      <w:sz w:val="20"/>
      <w:szCs w:val="20"/>
    </w:rPr>
  </w:style>
  <w:style w:type="paragraph" w:customStyle="1" w:styleId="Bezriadkovania1">
    <w:name w:val="Bez riadkovania1"/>
    <w:qFormat/>
    <w:rsid w:val="0049211D"/>
    <w:rPr>
      <w:rFonts w:ascii="Cambria" w:eastAsia="Cambria" w:hAnsi="Cambria"/>
      <w:sz w:val="22"/>
      <w:szCs w:val="22"/>
      <w:lang w:val="en-US"/>
    </w:rPr>
  </w:style>
  <w:style w:type="paragraph" w:customStyle="1" w:styleId="msonospacing0">
    <w:name w:val="msonospacing"/>
    <w:basedOn w:val="Normlny"/>
    <w:rsid w:val="0049211D"/>
  </w:style>
  <w:style w:type="paragraph" w:customStyle="1" w:styleId="Revzia1">
    <w:name w:val="Revízia1"/>
    <w:hidden/>
    <w:semiHidden/>
    <w:rsid w:val="0049211D"/>
    <w:rPr>
      <w:rFonts w:eastAsia="Times New Roman"/>
      <w:lang w:val="en-GB"/>
    </w:rPr>
  </w:style>
  <w:style w:type="character" w:customStyle="1" w:styleId="texteparChar">
    <w:name w:val="texte+par Char"/>
    <w:basedOn w:val="Predvolenpsmoodseku"/>
    <w:rsid w:val="0049211D"/>
    <w:rPr>
      <w:rFonts w:ascii="Arial" w:hAnsi="Arial" w:cs="Arial"/>
      <w:lang w:val="en-GB" w:eastAsia="en-US" w:bidi="ar-SA"/>
    </w:rPr>
  </w:style>
  <w:style w:type="paragraph" w:customStyle="1" w:styleId="paragraph">
    <w:name w:val="paragraph"/>
    <w:basedOn w:val="Normlny"/>
    <w:rsid w:val="0049211D"/>
    <w:pPr>
      <w:spacing w:before="120" w:line="288" w:lineRule="auto"/>
      <w:jc w:val="both"/>
    </w:pPr>
    <w:rPr>
      <w:rFonts w:ascii="Arial" w:hAnsi="Arial" w:cs="Arial"/>
      <w:sz w:val="20"/>
      <w:szCs w:val="20"/>
    </w:rPr>
  </w:style>
  <w:style w:type="character" w:customStyle="1" w:styleId="texte8Char">
    <w:name w:val="texte8 Char"/>
    <w:basedOn w:val="Predvolenpsmoodseku"/>
    <w:rsid w:val="0049211D"/>
    <w:rPr>
      <w:rFonts w:ascii="Arial" w:hAnsi="Arial" w:cs="Arial"/>
      <w:snapToGrid w:val="0"/>
      <w:sz w:val="16"/>
      <w:szCs w:val="16"/>
      <w:lang w:val="fr-FR" w:eastAsia="en-US" w:bidi="ar-SA"/>
    </w:rPr>
  </w:style>
  <w:style w:type="paragraph" w:styleId="Textbubliny">
    <w:name w:val="Balloon Text"/>
    <w:basedOn w:val="Normlny"/>
    <w:link w:val="TextbublinyChar"/>
    <w:uiPriority w:val="99"/>
    <w:semiHidden/>
    <w:unhideWhenUsed/>
    <w:rsid w:val="0049211D"/>
    <w:rPr>
      <w:rFonts w:ascii="Tahoma" w:hAnsi="Tahoma" w:cs="Tahoma"/>
      <w:sz w:val="16"/>
      <w:szCs w:val="16"/>
    </w:rPr>
  </w:style>
  <w:style w:type="character" w:customStyle="1" w:styleId="TextbublinyChar">
    <w:name w:val="Text bubliny Char"/>
    <w:basedOn w:val="Predvolenpsmoodseku"/>
    <w:link w:val="Textbubliny"/>
    <w:uiPriority w:val="99"/>
    <w:semiHidden/>
    <w:rsid w:val="0049211D"/>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edu.ro/index.php/articles/c545/" TargetMode="External"/><Relationship Id="rId18" Type="http://schemas.openxmlformats.org/officeDocument/2006/relationships/image" Target="media/image8.png"/><Relationship Id="rId26" Type="http://schemas.openxmlformats.org/officeDocument/2006/relationships/footer" Target="footer2.xml"/><Relationship Id="rId39"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yperlink" Target="http://www.ofsted.gov.uk/Ofsted-home/Publications-and-research/Browse-all-by/Education/Curriculum/English/Primary/English-2000-05-a-review-of-inspection-evidence" TargetMode="External"/><Relationship Id="rId34" Type="http://schemas.openxmlformats.org/officeDocument/2006/relationships/footer" Target="footer7.xml"/><Relationship Id="rId42" Type="http://schemas.openxmlformats.org/officeDocument/2006/relationships/footer" Target="footer13.xml"/><Relationship Id="rId7" Type="http://schemas.openxmlformats.org/officeDocument/2006/relationships/image" Target="media/image1.wmf"/><Relationship Id="rId12" Type="http://schemas.openxmlformats.org/officeDocument/2006/relationships/hyperlink" Target="http://www.curriculum.gov.mt/docs/syllabus_art_09.pdf" TargetMode="External"/><Relationship Id="rId17" Type="http://schemas.openxmlformats.org/officeDocument/2006/relationships/image" Target="media/image7.png"/><Relationship Id="rId25" Type="http://schemas.openxmlformats.org/officeDocument/2006/relationships/footer" Target="footer1.xml"/><Relationship Id="rId33" Type="http://schemas.openxmlformats.org/officeDocument/2006/relationships/footer" Target="footer6.xml"/><Relationship Id="rId38" Type="http://schemas.openxmlformats.org/officeDocument/2006/relationships/footer" Target="footer10.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www.education.ie/servlet/blobservlet/inspector_50school_report.pdf?language=EN" TargetMode="External"/><Relationship Id="rId29" Type="http://schemas.openxmlformats.org/officeDocument/2006/relationships/footer" Target="footer4.xml"/><Relationship Id="rId41"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yperlink" Target="http://www.ofsted.gov.uk/Ofsted-home/Publications-and-research/Browse-all-by/Education/Curriculum/English/Primary/English-2000-05-a-review-of-inspection-evidence" TargetMode="External"/><Relationship Id="rId32" Type="http://schemas.openxmlformats.org/officeDocument/2006/relationships/header" Target="header3.xml"/><Relationship Id="rId37" Type="http://schemas.openxmlformats.org/officeDocument/2006/relationships/footer" Target="footer9.xml"/><Relationship Id="rId40" Type="http://schemas.openxmlformats.org/officeDocument/2006/relationships/footer" Target="footer11.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ltscotland.org.uk/curriculumforexcellence/expressivearts/principlesandpractice/assessment.asp" TargetMode="External"/><Relationship Id="rId23" Type="http://schemas.openxmlformats.org/officeDocument/2006/relationships/hyperlink" Target="http://www.ofsted.gov.uk/Ofsted-home/Publications-and-research/Browse-all-by/Education/Curriculum/English/Primary/English-2000-05-a-review-of-inspection-evidence" TargetMode="External"/><Relationship Id="rId28" Type="http://schemas.openxmlformats.org/officeDocument/2006/relationships/header" Target="header1.xml"/><Relationship Id="rId36" Type="http://schemas.openxmlformats.org/officeDocument/2006/relationships/footer" Target="footer8.xml"/><Relationship Id="rId10" Type="http://schemas.openxmlformats.org/officeDocument/2006/relationships/image" Target="media/image4.png"/><Relationship Id="rId19" Type="http://schemas.openxmlformats.org/officeDocument/2006/relationships/image" Target="media/image9.png"/><Relationship Id="rId31" Type="http://schemas.openxmlformats.org/officeDocument/2006/relationships/header" Target="header2.xml"/><Relationship Id="rId44" Type="http://schemas.openxmlformats.org/officeDocument/2006/relationships/footer" Target="footer15.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ltscotland.org.uk/curriculumforexcellence/expressivearts/principlesandpractice/assessment.asp" TargetMode="External"/><Relationship Id="rId22" Type="http://schemas.openxmlformats.org/officeDocument/2006/relationships/hyperlink" Target="http://www.ofsted.gov.uk/Ofsted-home/Publications-and-research/Browse-all-by/Education/Curriculum/English/Primary/English-2000-05-a-review-of-inspection-evidence" TargetMode="Externa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header" Target="header4.xml"/><Relationship Id="rId43" Type="http://schemas.openxmlformats.org/officeDocument/2006/relationships/footer" Target="footer1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50</Pages>
  <Words>15513</Words>
  <Characters>88426</Characters>
  <Application>Microsoft Office Word</Application>
  <DocSecurity>0</DocSecurity>
  <Lines>736</Lines>
  <Paragraphs>207</Paragraphs>
  <ScaleCrop>false</ScaleCrop>
  <Company/>
  <LinksUpToDate>false</LinksUpToDate>
  <CharactersWithSpaces>103732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3</cp:revision>
  <dcterms:created xsi:type="dcterms:W3CDTF">2015-03-26T08:39:00Z</dcterms:created>
  <dcterms:modified xsi:type="dcterms:W3CDTF">2015-03-26T10:49:00Z</dcterms:modified>
</cp:coreProperties>
</file>